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98E" w:rsidRPr="00442CD2" w:rsidRDefault="0096053F" w:rsidP="0096053F">
      <w:pPr>
        <w:rPr>
          <w:b/>
        </w:rPr>
      </w:pPr>
      <w:r w:rsidRPr="00442CD2">
        <w:rPr>
          <w:b/>
        </w:rPr>
        <w:t>FINT480 Case Study #1</w:t>
      </w:r>
      <w:bookmarkStart w:id="0" w:name="_GoBack"/>
      <w:bookmarkEnd w:id="0"/>
    </w:p>
    <w:p w:rsidR="0011776B" w:rsidRPr="00442CD2" w:rsidRDefault="0011776B" w:rsidP="0096053F">
      <w:pPr>
        <w:rPr>
          <w:b/>
        </w:rPr>
      </w:pPr>
      <w:r w:rsidRPr="00442CD2">
        <w:rPr>
          <w:b/>
        </w:rPr>
        <w:t>February 2019</w:t>
      </w:r>
    </w:p>
    <w:p w:rsidR="0096053F" w:rsidRPr="00442CD2" w:rsidRDefault="0096053F" w:rsidP="0096053F">
      <w:pPr>
        <w:rPr>
          <w:b/>
        </w:rPr>
      </w:pPr>
      <w:r w:rsidRPr="00442CD2">
        <w:rPr>
          <w:b/>
        </w:rPr>
        <w:t>Prof. Gillen</w:t>
      </w:r>
    </w:p>
    <w:p w:rsidR="0011776B" w:rsidRDefault="0011776B" w:rsidP="0096053F"/>
    <w:p w:rsidR="0011776B" w:rsidRDefault="0011776B" w:rsidP="0096053F">
      <w:r>
        <w:t xml:space="preserve">Congratulations!!  You have been hired as an analyst for LeBow Acquisitions LLC, </w:t>
      </w:r>
      <w:r w:rsidR="00664B5C">
        <w:t xml:space="preserve">a </w:t>
      </w:r>
      <w:r>
        <w:t>major property investment and management firm.</w:t>
      </w:r>
    </w:p>
    <w:p w:rsidR="0011776B" w:rsidRDefault="0011776B" w:rsidP="0096053F">
      <w:pPr>
        <w:rPr>
          <w:u w:val="single"/>
        </w:rPr>
      </w:pPr>
      <w:r>
        <w:t>For your first assignment, you have been asked to perform a valuation in a property that LeBow is interested in acquiring.  The property is a mid-rise office building in suburban Harrisburg, PA.  All of the information you will need to undertake this valuation is given in the attached offering memorandum or in this document.  You will perform this valuation using the Construction Cost (aka Replacement Cost) Approach, the Comps Approach and the Income Approach (which is composed of both the Cap Rate and Discounted Cash Flow</w:t>
      </w:r>
      <w:r w:rsidR="00F672EE">
        <w:t xml:space="preserve"> (DCF)</w:t>
      </w:r>
      <w:r>
        <w:t xml:space="preserve"> Approach</w:t>
      </w:r>
      <w:r w:rsidR="00890E3C">
        <w:t>es</w:t>
      </w:r>
      <w:r>
        <w:t xml:space="preserve">.  </w:t>
      </w:r>
      <w:r w:rsidR="00F672EE">
        <w:t xml:space="preserve">You will then stress test these numbers via a pessimistic scenario and an optimistic scenario, using only the DCF approach.  </w:t>
      </w:r>
      <w:r w:rsidRPr="0011776B">
        <w:rPr>
          <w:u w:val="single"/>
        </w:rPr>
        <w:t xml:space="preserve">Hence, you will compute and report </w:t>
      </w:r>
      <w:r w:rsidR="00F672EE">
        <w:rPr>
          <w:u w:val="single"/>
        </w:rPr>
        <w:t>6</w:t>
      </w:r>
      <w:r w:rsidRPr="0011776B">
        <w:rPr>
          <w:u w:val="single"/>
        </w:rPr>
        <w:t xml:space="preserve"> different valuation numbers.</w:t>
      </w:r>
    </w:p>
    <w:p w:rsidR="00442CD2" w:rsidRDefault="00442CD2" w:rsidP="0096053F">
      <w:r>
        <w:t>Your boss has provided you with the following information:</w:t>
      </w:r>
    </w:p>
    <w:p w:rsidR="00AA5566" w:rsidRDefault="00AA5566" w:rsidP="00442CD2">
      <w:pPr>
        <w:pStyle w:val="ListParagraph"/>
        <w:numPr>
          <w:ilvl w:val="0"/>
          <w:numId w:val="1"/>
        </w:numPr>
      </w:pPr>
      <w:r>
        <w:t>The structure was originally built in 1994, but was renovated in 2014.</w:t>
      </w:r>
      <w:r w:rsidR="00972404">
        <w:t xml:space="preserve">  It is classified as being in “Above Average” condition.</w:t>
      </w:r>
    </w:p>
    <w:p w:rsidR="00AA5566" w:rsidRDefault="00AA5566" w:rsidP="00AA5566">
      <w:pPr>
        <w:pStyle w:val="ListParagraph"/>
      </w:pPr>
    </w:p>
    <w:p w:rsidR="00442CD2" w:rsidRDefault="00442CD2" w:rsidP="00442CD2">
      <w:pPr>
        <w:pStyle w:val="ListParagraph"/>
        <w:numPr>
          <w:ilvl w:val="0"/>
          <w:numId w:val="1"/>
        </w:numPr>
      </w:pPr>
      <w:r>
        <w:t>The property currently has three office suites, but only two of them are currently occupied.  The third space is vacant.</w:t>
      </w:r>
    </w:p>
    <w:p w:rsidR="001B1BC8" w:rsidRDefault="001B1BC8" w:rsidP="001B1BC8">
      <w:pPr>
        <w:pStyle w:val="ListParagraph"/>
      </w:pPr>
    </w:p>
    <w:p w:rsidR="001B1BC8" w:rsidRDefault="00442CD2" w:rsidP="001B1BC8">
      <w:pPr>
        <w:pStyle w:val="ListParagraph"/>
        <w:numPr>
          <w:ilvl w:val="0"/>
          <w:numId w:val="1"/>
        </w:numPr>
      </w:pPr>
      <w:r>
        <w:t>The current owner has offered to upgrade the finishes in the vacant suite at their own expense.  Because</w:t>
      </w:r>
      <w:r w:rsidR="00F672EE">
        <w:t xml:space="preserve"> of these upgrades, this space is expected to rent for</w:t>
      </w:r>
      <w:r w:rsidR="00571E43">
        <w:t xml:space="preserve"> $1</w:t>
      </w:r>
      <w:r w:rsidR="000F4B8B">
        <w:t>3</w:t>
      </w:r>
      <w:r w:rsidR="00571E43">
        <w:t>.00 per square foot (hereafter, “sqft”, which is a higher rent than any of the other currently occupied spaces are being rented for.</w:t>
      </w:r>
      <w:r w:rsidR="00BF7FCF">
        <w:t xml:space="preserve">  LeBow believes it will secure a tenant for this space in the fifth year after it acquires the building.</w:t>
      </w:r>
    </w:p>
    <w:p w:rsidR="001B1BC8" w:rsidRDefault="001B1BC8" w:rsidP="001B1BC8">
      <w:pPr>
        <w:pStyle w:val="ListParagraph"/>
      </w:pPr>
    </w:p>
    <w:p w:rsidR="000C7D8C" w:rsidRDefault="00571E43" w:rsidP="00442CD2">
      <w:pPr>
        <w:pStyle w:val="ListParagraph"/>
        <w:numPr>
          <w:ilvl w:val="0"/>
          <w:numId w:val="1"/>
        </w:numPr>
      </w:pPr>
      <w:r>
        <w:t>LeBow intends to acquire the property and hold it for 10 years before selling.</w:t>
      </w:r>
      <w:r w:rsidR="000C7D8C">
        <w:t xml:space="preserve">  For the purposes of your analysis, you will assume that LeBow will begin managing the building (collecting rents and paying expenses and taxes</w:t>
      </w:r>
      <w:r w:rsidR="00890E3C">
        <w:t>)</w:t>
      </w:r>
      <w:r w:rsidR="000C7D8C">
        <w:t xml:space="preserve"> in year 1.  LeBow will continue to operate it through year 10, at the conclusion of which it will sell </w:t>
      </w:r>
      <w:r w:rsidR="000647AD">
        <w:t>the property</w:t>
      </w:r>
      <w:r w:rsidR="000C7D8C">
        <w:t xml:space="preserve"> and collect the proceeds from the sale.  Hence, when you value the building via the DCF approach, you will spread your numbers out over 10 years.</w:t>
      </w:r>
    </w:p>
    <w:p w:rsidR="001B1BC8" w:rsidRDefault="001B1BC8" w:rsidP="001B1BC8">
      <w:pPr>
        <w:pStyle w:val="ListParagraph"/>
      </w:pPr>
    </w:p>
    <w:p w:rsidR="000C7D8C" w:rsidRDefault="000C7D8C" w:rsidP="00442CD2">
      <w:pPr>
        <w:pStyle w:val="ListParagraph"/>
        <w:numPr>
          <w:ilvl w:val="0"/>
          <w:numId w:val="1"/>
        </w:numPr>
      </w:pPr>
      <w:r>
        <w:t>The current size of the building (total sqft) and the size of each of the three office suites (their individual sqft), is given in the offering memorandum.  It also gives the lot size (in acres) and the total number of parking spots.</w:t>
      </w:r>
      <w:r w:rsidR="00970C14">
        <w:t xml:space="preserve">  In addition, the building has 500 square feet of common area, which is composed of a small lobby, bathrooms and janitorial storage.  The common area is used by all tenants and your staff who manage the building, so it generates zero rent.</w:t>
      </w:r>
      <w:r w:rsidR="00890E3C">
        <w:t xml:space="preserve">  Your current tenant rent roll is as follows:</w:t>
      </w:r>
    </w:p>
    <w:p w:rsidR="00890E3C" w:rsidRDefault="00890E3C" w:rsidP="00890E3C">
      <w:pPr>
        <w:pStyle w:val="ListParagraph"/>
      </w:pPr>
    </w:p>
    <w:p w:rsidR="00890E3C" w:rsidRDefault="00890E3C" w:rsidP="00890E3C">
      <w:pPr>
        <w:pStyle w:val="ListParagraph"/>
        <w:numPr>
          <w:ilvl w:val="1"/>
          <w:numId w:val="1"/>
        </w:numPr>
      </w:pPr>
      <w:r>
        <w:t>Enterprise Holdings: $12.11/sqft</w:t>
      </w:r>
    </w:p>
    <w:p w:rsidR="00890E3C" w:rsidRDefault="00890E3C" w:rsidP="00890E3C">
      <w:pPr>
        <w:pStyle w:val="ListParagraph"/>
        <w:numPr>
          <w:ilvl w:val="1"/>
          <w:numId w:val="1"/>
        </w:numPr>
      </w:pPr>
      <w:r>
        <w:t>Trinity Pharmacy: $9.00/sqft</w:t>
      </w:r>
    </w:p>
    <w:p w:rsidR="00890E3C" w:rsidRDefault="00890E3C" w:rsidP="00890E3C">
      <w:pPr>
        <w:pStyle w:val="ListParagraph"/>
        <w:numPr>
          <w:ilvl w:val="1"/>
          <w:numId w:val="1"/>
        </w:numPr>
      </w:pPr>
      <w:r>
        <w:t>Vacant Suite: Currently, $0.00/sqft, but $13.00 sqft once leased and occupied</w:t>
      </w:r>
    </w:p>
    <w:p w:rsidR="001B1BC8" w:rsidRDefault="001B1BC8" w:rsidP="001B1BC8">
      <w:pPr>
        <w:pStyle w:val="ListParagraph"/>
      </w:pPr>
    </w:p>
    <w:p w:rsidR="001B1BC8" w:rsidRDefault="000C7D8C" w:rsidP="001B1BC8">
      <w:pPr>
        <w:pStyle w:val="ListParagraph"/>
        <w:numPr>
          <w:ilvl w:val="0"/>
          <w:numId w:val="1"/>
        </w:numPr>
      </w:pPr>
      <w:r>
        <w:t>For the Cost Approach, you will need the following information:</w:t>
      </w:r>
    </w:p>
    <w:p w:rsidR="001B1BC8" w:rsidRDefault="001B1BC8" w:rsidP="001B1BC8">
      <w:pPr>
        <w:pStyle w:val="ListParagraph"/>
        <w:numPr>
          <w:ilvl w:val="1"/>
          <w:numId w:val="1"/>
        </w:numPr>
      </w:pPr>
      <w:r>
        <w:t>Land in the Harrisburg region currently is currently selling for an average price of $1.47/sqft.  Improvements to vacant land (i.e. landscaping) typically cost $1.50/sqft.</w:t>
      </w:r>
    </w:p>
    <w:p w:rsidR="001B1BC8" w:rsidRDefault="001B1BC8" w:rsidP="001B1BC8">
      <w:pPr>
        <w:pStyle w:val="ListParagraph"/>
        <w:numPr>
          <w:ilvl w:val="1"/>
          <w:numId w:val="1"/>
        </w:numPr>
      </w:pPr>
      <w:r>
        <w:t>The cost of constructing a parking space is $2.35/sqft.  A typical parking space is 180 sqft.</w:t>
      </w:r>
    </w:p>
    <w:p w:rsidR="001B1BC8" w:rsidRDefault="001B1BC8" w:rsidP="001B1BC8">
      <w:pPr>
        <w:pStyle w:val="ListParagraph"/>
        <w:numPr>
          <w:ilvl w:val="1"/>
          <w:numId w:val="1"/>
        </w:numPr>
      </w:pPr>
      <w:r>
        <w:t xml:space="preserve">The national cost of labor is $35/sqft and the national cost of materials/sqft is also $35/sqft.  The local construction cost multiplier for the Harrisburg area is 1.05; i.e. both labor and material costs in Harrisburg are 5% higher than the national average.  This multiplier applies only to labor and materials costs.  The sum of your labor costs and your materials costs are your total hard costs.  These costs apply only to </w:t>
      </w:r>
      <w:r w:rsidR="000647AD">
        <w:t xml:space="preserve">the </w:t>
      </w:r>
      <w:r>
        <w:t>cost of constructing the building, and should not be applied to the costs of landscaping or constructing the parking spaces.</w:t>
      </w:r>
    </w:p>
    <w:p w:rsidR="001B1BC8" w:rsidRDefault="001B1BC8" w:rsidP="001B1BC8">
      <w:pPr>
        <w:pStyle w:val="ListParagraph"/>
        <w:numPr>
          <w:ilvl w:val="1"/>
          <w:numId w:val="1"/>
        </w:numPr>
      </w:pPr>
      <w:r>
        <w:t>Soft costs (architect’s fees, legal fees, engineering, marketing, and other overhead costs) are 30% of a project’s total construction cost.</w:t>
      </w:r>
    </w:p>
    <w:p w:rsidR="001B1BC8" w:rsidRPr="0011776B" w:rsidRDefault="001B1BC8" w:rsidP="001B1BC8">
      <w:pPr>
        <w:pStyle w:val="ListParagraph"/>
        <w:numPr>
          <w:ilvl w:val="1"/>
          <w:numId w:val="1"/>
        </w:numPr>
      </w:pPr>
      <w:r>
        <w:t>The total construction cost of a project is the sum of the following: site (land) acquisition cost, landscaping costs, cost of parking space construction, total hard costs and total soft costs.</w:t>
      </w:r>
    </w:p>
    <w:p w:rsidR="001B1BC8" w:rsidRDefault="001B1BC8" w:rsidP="001B1BC8">
      <w:pPr>
        <w:pStyle w:val="ListParagraph"/>
      </w:pPr>
    </w:p>
    <w:p w:rsidR="00376D2C" w:rsidRDefault="00376D2C" w:rsidP="00442CD2">
      <w:pPr>
        <w:pStyle w:val="ListParagraph"/>
        <w:numPr>
          <w:ilvl w:val="0"/>
          <w:numId w:val="1"/>
        </w:numPr>
      </w:pPr>
      <w:r>
        <w:t xml:space="preserve">For the Comps Approach, please see the comparables </w:t>
      </w:r>
      <w:r w:rsidR="00CA0851">
        <w:t>info</w:t>
      </w:r>
      <w:r w:rsidR="00015373">
        <w:t xml:space="preserve"> in this document</w:t>
      </w:r>
      <w:r>
        <w:t>.</w:t>
      </w:r>
      <w:r w:rsidR="00CA0851">
        <w:t xml:space="preserve">  “Distance from Subject” gives how far away the comparable property is from the subject property you are valuing</w:t>
      </w:r>
      <w:r w:rsidR="00D45B0C">
        <w:t>, in miles</w:t>
      </w:r>
      <w:r w:rsidR="00CA0851">
        <w:t>.</w:t>
      </w:r>
    </w:p>
    <w:p w:rsidR="001B1BC8" w:rsidRDefault="001B1BC8" w:rsidP="001B1BC8">
      <w:pPr>
        <w:pStyle w:val="ListParagraph"/>
      </w:pPr>
    </w:p>
    <w:p w:rsidR="001B1BC8" w:rsidRDefault="00376D2C" w:rsidP="001B1BC8">
      <w:pPr>
        <w:pStyle w:val="ListParagraph"/>
        <w:numPr>
          <w:ilvl w:val="0"/>
          <w:numId w:val="1"/>
        </w:numPr>
      </w:pPr>
      <w:r>
        <w:t xml:space="preserve">For the Cap Rate Approach, </w:t>
      </w:r>
      <w:r w:rsidR="001B1BC8">
        <w:t>you will need the following information:</w:t>
      </w:r>
    </w:p>
    <w:p w:rsidR="001B1BC8" w:rsidRDefault="00970C14" w:rsidP="001B1BC8">
      <w:pPr>
        <w:pStyle w:val="ListParagraph"/>
        <w:numPr>
          <w:ilvl w:val="1"/>
          <w:numId w:val="1"/>
        </w:numPr>
      </w:pPr>
      <w:r>
        <w:t>The annual expense for the property’s management is $</w:t>
      </w:r>
      <w:r w:rsidR="00CA33CB">
        <w:t>0.55</w:t>
      </w:r>
      <w:r>
        <w:t>/sqft.</w:t>
      </w:r>
    </w:p>
    <w:p w:rsidR="00970C14" w:rsidRDefault="00970C14" w:rsidP="00970C14">
      <w:pPr>
        <w:pStyle w:val="ListParagraph"/>
        <w:numPr>
          <w:ilvl w:val="1"/>
          <w:numId w:val="1"/>
        </w:numPr>
      </w:pPr>
      <w:r>
        <w:t>The annual expense for</w:t>
      </w:r>
      <w:r w:rsidR="00CA33CB">
        <w:t xml:space="preserve"> the building’s maintenance</w:t>
      </w:r>
      <w:r>
        <w:t xml:space="preserve"> is $</w:t>
      </w:r>
      <w:r w:rsidR="00CA33CB">
        <w:t>1.48</w:t>
      </w:r>
      <w:r>
        <w:t>/sqft.</w:t>
      </w:r>
    </w:p>
    <w:p w:rsidR="00970C14" w:rsidRDefault="00970C14" w:rsidP="00970C14">
      <w:pPr>
        <w:pStyle w:val="ListParagraph"/>
        <w:numPr>
          <w:ilvl w:val="1"/>
          <w:numId w:val="1"/>
        </w:numPr>
      </w:pPr>
      <w:r>
        <w:t>The annual expense for</w:t>
      </w:r>
      <w:r w:rsidR="00CA33CB">
        <w:t xml:space="preserve"> parking maintenance and landscaping</w:t>
      </w:r>
      <w:r>
        <w:t xml:space="preserve"> is $</w:t>
      </w:r>
      <w:r w:rsidR="00CA33CB">
        <w:t>0.07</w:t>
      </w:r>
      <w:r>
        <w:t>/sqft.</w:t>
      </w:r>
    </w:p>
    <w:p w:rsidR="00970C14" w:rsidRDefault="00970C14" w:rsidP="00970C14">
      <w:pPr>
        <w:pStyle w:val="ListParagraph"/>
        <w:numPr>
          <w:ilvl w:val="1"/>
          <w:numId w:val="1"/>
        </w:numPr>
      </w:pPr>
      <w:r>
        <w:t>The annual expense for</w:t>
      </w:r>
      <w:r w:rsidR="00CA33CB">
        <w:t xml:space="preserve"> insurance</w:t>
      </w:r>
      <w:r>
        <w:t xml:space="preserve"> is $</w:t>
      </w:r>
      <w:r w:rsidR="00CA33CB">
        <w:t>0.16</w:t>
      </w:r>
      <w:r>
        <w:t>/sqft.</w:t>
      </w:r>
    </w:p>
    <w:p w:rsidR="00970C14" w:rsidRDefault="00970C14" w:rsidP="00970C14">
      <w:pPr>
        <w:pStyle w:val="ListParagraph"/>
        <w:numPr>
          <w:ilvl w:val="1"/>
          <w:numId w:val="1"/>
        </w:numPr>
      </w:pPr>
      <w:r>
        <w:t xml:space="preserve">The annual expense for </w:t>
      </w:r>
      <w:r w:rsidR="00CA33CB">
        <w:t xml:space="preserve">utilities </w:t>
      </w:r>
      <w:r>
        <w:t>is $</w:t>
      </w:r>
      <w:r w:rsidR="00CA33CB">
        <w:t>0.35</w:t>
      </w:r>
      <w:r>
        <w:t>/sqft.</w:t>
      </w:r>
    </w:p>
    <w:p w:rsidR="000647AD" w:rsidRDefault="00970C14" w:rsidP="004C35B6">
      <w:pPr>
        <w:pStyle w:val="ListParagraph"/>
        <w:numPr>
          <w:ilvl w:val="1"/>
          <w:numId w:val="1"/>
        </w:numPr>
      </w:pPr>
      <w:r>
        <w:t xml:space="preserve">The annual expense for </w:t>
      </w:r>
      <w:r w:rsidR="00CA33CB">
        <w:t xml:space="preserve">property taxes </w:t>
      </w:r>
      <w:r>
        <w:t>is $</w:t>
      </w:r>
      <w:r w:rsidR="00CA33CB">
        <w:t>0.75</w:t>
      </w:r>
      <w:r>
        <w:t>/sqft.</w:t>
      </w:r>
    </w:p>
    <w:p w:rsidR="00970C14" w:rsidRDefault="00E25CAB" w:rsidP="004C35B6">
      <w:pPr>
        <w:pStyle w:val="ListParagraph"/>
        <w:numPr>
          <w:ilvl w:val="1"/>
          <w:numId w:val="1"/>
        </w:numPr>
      </w:pPr>
      <w:r>
        <w:t>The average national cap rate for suburban office</w:t>
      </w:r>
      <w:r w:rsidR="000647AD">
        <w:t xml:space="preserve"> space is</w:t>
      </w:r>
      <w:r>
        <w:t xml:space="preserve"> 6.8%, but </w:t>
      </w:r>
      <w:r w:rsidR="000647AD">
        <w:t>cap rates for suburban office space in the Harrisburg region have a local multiplier of 1.15.</w:t>
      </w:r>
    </w:p>
    <w:p w:rsidR="000647AD" w:rsidRDefault="000647AD" w:rsidP="000647AD">
      <w:pPr>
        <w:pStyle w:val="ListParagraph"/>
        <w:ind w:left="1440"/>
      </w:pPr>
    </w:p>
    <w:p w:rsidR="001B1BC8" w:rsidRDefault="001B1BC8" w:rsidP="001B1BC8">
      <w:pPr>
        <w:pStyle w:val="ListParagraph"/>
        <w:numPr>
          <w:ilvl w:val="0"/>
          <w:numId w:val="1"/>
        </w:numPr>
      </w:pPr>
      <w:r>
        <w:t>For the DCF Approach, you will need the following information:</w:t>
      </w:r>
    </w:p>
    <w:p w:rsidR="005B194F" w:rsidRDefault="005B194F" w:rsidP="005B194F">
      <w:pPr>
        <w:pStyle w:val="ListParagraph"/>
        <w:numPr>
          <w:ilvl w:val="1"/>
          <w:numId w:val="1"/>
        </w:numPr>
      </w:pPr>
      <w:r>
        <w:t>The rent escalation rate is 3% per year; i.e. rents will grow by this much in each year after year one.</w:t>
      </w:r>
    </w:p>
    <w:p w:rsidR="005B194F" w:rsidRDefault="005B194F" w:rsidP="005B194F">
      <w:pPr>
        <w:pStyle w:val="ListParagraph"/>
        <w:numPr>
          <w:ilvl w:val="1"/>
          <w:numId w:val="1"/>
        </w:numPr>
      </w:pPr>
      <w:r>
        <w:t>The O</w:t>
      </w:r>
      <w:r w:rsidR="00BF7FCF">
        <w:t>p</w:t>
      </w:r>
      <w:r>
        <w:t>E</w:t>
      </w:r>
      <w:r w:rsidR="00BF7FCF">
        <w:t>x</w:t>
      </w:r>
      <w:r>
        <w:t xml:space="preserve"> escalation rate is also 3% per year; i.e. </w:t>
      </w:r>
      <w:r w:rsidR="000647AD">
        <w:t xml:space="preserve">the individual line items in </w:t>
      </w:r>
      <w:r>
        <w:t>operating expenses will grow by this much in each year after year one.</w:t>
      </w:r>
      <w:r w:rsidR="000647AD">
        <w:t xml:space="preserve">  This does </w:t>
      </w:r>
      <w:r w:rsidR="000647AD" w:rsidRPr="000647AD">
        <w:rPr>
          <w:u w:val="single"/>
        </w:rPr>
        <w:t>not</w:t>
      </w:r>
      <w:r w:rsidR="000647AD">
        <w:t xml:space="preserve"> include the property tax.</w:t>
      </w:r>
    </w:p>
    <w:p w:rsidR="005B194F" w:rsidRDefault="005B194F" w:rsidP="005B194F">
      <w:pPr>
        <w:pStyle w:val="ListParagraph"/>
        <w:numPr>
          <w:ilvl w:val="1"/>
          <w:numId w:val="1"/>
        </w:numPr>
      </w:pPr>
      <w:r>
        <w:lastRenderedPageBreak/>
        <w:t>The property tax growth rate is 2% per year; i.e. the site’s property tax bill will grow by this much in each year after year one.</w:t>
      </w:r>
    </w:p>
    <w:p w:rsidR="005B194F" w:rsidRDefault="005B194F" w:rsidP="005B194F">
      <w:pPr>
        <w:pStyle w:val="ListParagraph"/>
        <w:numPr>
          <w:ilvl w:val="1"/>
          <w:numId w:val="1"/>
        </w:numPr>
      </w:pPr>
      <w:r>
        <w:t>The average national cap rate for suburban office space is projected to be 7.3% ten years from now, but you should apply the same local multiplier to adjust for local conditions.</w:t>
      </w:r>
    </w:p>
    <w:p w:rsidR="00015373" w:rsidRDefault="00015373" w:rsidP="00015373">
      <w:pPr>
        <w:pStyle w:val="ListParagraph"/>
        <w:ind w:left="1440"/>
      </w:pPr>
    </w:p>
    <w:p w:rsidR="00BF7FCF" w:rsidRDefault="00BF7FCF" w:rsidP="00BF7FCF">
      <w:pPr>
        <w:pStyle w:val="ListParagraph"/>
        <w:numPr>
          <w:ilvl w:val="0"/>
          <w:numId w:val="2"/>
        </w:numPr>
      </w:pPr>
      <w:r>
        <w:t>For the pessimistic scenario, you will need the following information:</w:t>
      </w:r>
    </w:p>
    <w:p w:rsidR="00BF7FCF" w:rsidRDefault="00BF7FCF" w:rsidP="00BF7FCF">
      <w:pPr>
        <w:pStyle w:val="ListParagraph"/>
        <w:numPr>
          <w:ilvl w:val="1"/>
          <w:numId w:val="2"/>
        </w:numPr>
      </w:pPr>
      <w:r>
        <w:t>The rent escalation rate will be 2.75% per year, the OpEx escalation rate will be 3.25% per year, and the property tax bill’s growth rate will be 2.5% per year.</w:t>
      </w:r>
    </w:p>
    <w:p w:rsidR="00BF7FCF" w:rsidRDefault="00BF7FCF" w:rsidP="00BF7FCF">
      <w:pPr>
        <w:pStyle w:val="ListParagraph"/>
        <w:numPr>
          <w:ilvl w:val="1"/>
          <w:numId w:val="2"/>
        </w:numPr>
      </w:pPr>
      <w:r>
        <w:t xml:space="preserve">A tenant for the vacant space will not be secured until year </w:t>
      </w:r>
      <w:r w:rsidR="0090547B">
        <w:t>7 of the building’s operation by LeBow.</w:t>
      </w:r>
    </w:p>
    <w:p w:rsidR="0090547B" w:rsidRDefault="0090547B" w:rsidP="0090547B">
      <w:pPr>
        <w:pStyle w:val="ListParagraph"/>
        <w:ind w:left="2520"/>
      </w:pPr>
    </w:p>
    <w:p w:rsidR="0090547B" w:rsidRDefault="0090547B" w:rsidP="0090547B">
      <w:pPr>
        <w:pStyle w:val="ListParagraph"/>
        <w:numPr>
          <w:ilvl w:val="0"/>
          <w:numId w:val="2"/>
        </w:numPr>
      </w:pPr>
      <w:r>
        <w:t>For the optimistic scenario, you will need the following information:</w:t>
      </w:r>
    </w:p>
    <w:p w:rsidR="0090547B" w:rsidRDefault="0090547B" w:rsidP="0090547B">
      <w:pPr>
        <w:pStyle w:val="ListParagraph"/>
        <w:numPr>
          <w:ilvl w:val="1"/>
          <w:numId w:val="2"/>
        </w:numPr>
      </w:pPr>
      <w:r>
        <w:t>The rent escalation rate will be 3.5% per year, the OpEx escalation rate will be 2.8% per year, and the property tax bill’s growth rate will be 1.75% per year.</w:t>
      </w:r>
    </w:p>
    <w:p w:rsidR="0090547B" w:rsidRDefault="0090547B" w:rsidP="0090547B">
      <w:pPr>
        <w:pStyle w:val="ListParagraph"/>
        <w:numPr>
          <w:ilvl w:val="1"/>
          <w:numId w:val="2"/>
        </w:numPr>
      </w:pPr>
      <w:r>
        <w:t>A tenant for the vacant space will be secured in year 3 of the building’s operation by LeBow.</w:t>
      </w:r>
    </w:p>
    <w:p w:rsidR="002779DF" w:rsidRDefault="002779DF" w:rsidP="002779DF"/>
    <w:p w:rsidR="002779DF" w:rsidRDefault="002779DF" w:rsidP="002779DF">
      <w:r>
        <w:t>Comps (Comparables) Info:  See subsequent pages.</w:t>
      </w:r>
    </w:p>
    <w:p w:rsidR="002779DF" w:rsidRDefault="002779DF">
      <w:r>
        <w:br w:type="page"/>
      </w:r>
    </w:p>
    <w:p w:rsidR="002779DF" w:rsidRDefault="002779DF" w:rsidP="002779DF">
      <w:r w:rsidRPr="002779DF">
        <w:rPr>
          <w:noProof/>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536</wp:posOffset>
            </wp:positionV>
            <wp:extent cx="5943600" cy="30594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59430"/>
                    </a:xfrm>
                    <a:prstGeom prst="rect">
                      <a:avLst/>
                    </a:prstGeom>
                    <a:noFill/>
                    <a:ln>
                      <a:noFill/>
                    </a:ln>
                  </pic:spPr>
                </pic:pic>
              </a:graphicData>
            </a:graphic>
          </wp:anchor>
        </w:drawing>
      </w:r>
    </w:p>
    <w:tbl>
      <w:tblPr>
        <w:tblW w:w="8825" w:type="dxa"/>
        <w:tblInd w:w="445" w:type="dxa"/>
        <w:tblLook w:val="04A0"/>
      </w:tblPr>
      <w:tblGrid>
        <w:gridCol w:w="2640"/>
        <w:gridCol w:w="1595"/>
        <w:gridCol w:w="385"/>
        <w:gridCol w:w="2225"/>
        <w:gridCol w:w="1980"/>
      </w:tblGrid>
      <w:tr w:rsidR="002779DF" w:rsidRPr="002779DF" w:rsidTr="00B10FE9">
        <w:trPr>
          <w:trHeight w:val="292"/>
        </w:trPr>
        <w:tc>
          <w:tcPr>
            <w:tcW w:w="26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b/>
                <w:bCs/>
                <w:color w:val="000000"/>
              </w:rPr>
            </w:pPr>
            <w:r w:rsidRPr="002779DF">
              <w:rPr>
                <w:rFonts w:ascii="Calibri" w:eastAsia="Times New Roman" w:hAnsi="Calibri" w:cs="Calibri"/>
                <w:b/>
                <w:bCs/>
                <w:color w:val="000000"/>
              </w:rPr>
              <w:t>Property #1</w:t>
            </w:r>
          </w:p>
        </w:tc>
        <w:tc>
          <w:tcPr>
            <w:tcW w:w="159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b/>
                <w:bCs/>
                <w:color w:val="000000"/>
              </w:rPr>
            </w:pPr>
          </w:p>
        </w:tc>
        <w:tc>
          <w:tcPr>
            <w:tcW w:w="38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c>
          <w:tcPr>
            <w:tcW w:w="222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r>
      <w:tr w:rsidR="002779DF" w:rsidRPr="002779DF" w:rsidTr="00B10FE9">
        <w:trPr>
          <w:trHeight w:val="300"/>
        </w:trPr>
        <w:tc>
          <w:tcPr>
            <w:tcW w:w="2640" w:type="dxa"/>
            <w:tcBorders>
              <w:top w:val="nil"/>
              <w:left w:val="nil"/>
              <w:bottom w:val="single" w:sz="8" w:space="0" w:color="auto"/>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b/>
                <w:bCs/>
                <w:color w:val="000000"/>
              </w:rPr>
            </w:pPr>
            <w:r w:rsidRPr="002779DF">
              <w:rPr>
                <w:rFonts w:ascii="Calibri" w:eastAsia="Times New Roman" w:hAnsi="Calibri" w:cs="Calibri"/>
                <w:b/>
                <w:bCs/>
                <w:color w:val="000000"/>
              </w:rPr>
              <w:t>Property Info</w:t>
            </w:r>
          </w:p>
        </w:tc>
        <w:tc>
          <w:tcPr>
            <w:tcW w:w="1595" w:type="dxa"/>
            <w:tcBorders>
              <w:top w:val="nil"/>
              <w:left w:val="nil"/>
              <w:bottom w:val="single" w:sz="8" w:space="0" w:color="auto"/>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 </w:t>
            </w:r>
          </w:p>
        </w:tc>
        <w:tc>
          <w:tcPr>
            <w:tcW w:w="38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p>
        </w:tc>
        <w:tc>
          <w:tcPr>
            <w:tcW w:w="2225" w:type="dxa"/>
            <w:tcBorders>
              <w:top w:val="nil"/>
              <w:left w:val="nil"/>
              <w:bottom w:val="single" w:sz="8" w:space="0" w:color="auto"/>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b/>
                <w:bCs/>
                <w:color w:val="000000"/>
              </w:rPr>
            </w:pPr>
            <w:r w:rsidRPr="002779DF">
              <w:rPr>
                <w:rFonts w:ascii="Calibri" w:eastAsia="Times New Roman" w:hAnsi="Calibri" w:cs="Calibri"/>
                <w:b/>
                <w:bCs/>
                <w:color w:val="000000"/>
              </w:rPr>
              <w:t>Sale Information</w:t>
            </w:r>
          </w:p>
        </w:tc>
        <w:tc>
          <w:tcPr>
            <w:tcW w:w="1980" w:type="dxa"/>
            <w:tcBorders>
              <w:top w:val="nil"/>
              <w:left w:val="nil"/>
              <w:bottom w:val="single" w:sz="8" w:space="0" w:color="auto"/>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 </w:t>
            </w:r>
          </w:p>
        </w:tc>
      </w:tr>
      <w:tr w:rsidR="002779DF" w:rsidRPr="002779DF" w:rsidTr="00B10FE9">
        <w:trPr>
          <w:trHeight w:val="292"/>
        </w:trPr>
        <w:tc>
          <w:tcPr>
            <w:tcW w:w="26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Site Area (Acres)</w:t>
            </w:r>
          </w:p>
        </w:tc>
        <w:tc>
          <w:tcPr>
            <w:tcW w:w="159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2.2</w:t>
            </w:r>
          </w:p>
        </w:tc>
        <w:tc>
          <w:tcPr>
            <w:tcW w:w="38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22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Sale Date</w:t>
            </w:r>
          </w:p>
        </w:tc>
        <w:tc>
          <w:tcPr>
            <w:tcW w:w="198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1/12/2019</w:t>
            </w:r>
          </w:p>
        </w:tc>
      </w:tr>
      <w:tr w:rsidR="002779DF" w:rsidRPr="002779DF" w:rsidTr="00B10FE9">
        <w:trPr>
          <w:trHeight w:val="292"/>
        </w:trPr>
        <w:tc>
          <w:tcPr>
            <w:tcW w:w="26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Building Size (SqFt)</w:t>
            </w:r>
          </w:p>
        </w:tc>
        <w:tc>
          <w:tcPr>
            <w:tcW w:w="159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22,000</w:t>
            </w:r>
          </w:p>
        </w:tc>
        <w:tc>
          <w:tcPr>
            <w:tcW w:w="38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22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Sale Price</w:t>
            </w:r>
          </w:p>
        </w:tc>
        <w:tc>
          <w:tcPr>
            <w:tcW w:w="198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$3,400,000</w:t>
            </w:r>
          </w:p>
        </w:tc>
      </w:tr>
      <w:tr w:rsidR="002779DF" w:rsidRPr="002779DF" w:rsidTr="00B10FE9">
        <w:trPr>
          <w:trHeight w:val="292"/>
        </w:trPr>
        <w:tc>
          <w:tcPr>
            <w:tcW w:w="26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Net Rentable Area (SqFt)</w:t>
            </w:r>
          </w:p>
        </w:tc>
        <w:tc>
          <w:tcPr>
            <w:tcW w:w="159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22,000</w:t>
            </w:r>
          </w:p>
        </w:tc>
        <w:tc>
          <w:tcPr>
            <w:tcW w:w="38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22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Condition of Sale</w:t>
            </w:r>
          </w:p>
        </w:tc>
        <w:tc>
          <w:tcPr>
            <w:tcW w:w="198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Arms-Length</w:t>
            </w:r>
          </w:p>
        </w:tc>
      </w:tr>
      <w:tr w:rsidR="002779DF" w:rsidRPr="002779DF" w:rsidTr="00B10FE9">
        <w:trPr>
          <w:trHeight w:val="292"/>
        </w:trPr>
        <w:tc>
          <w:tcPr>
            <w:tcW w:w="26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Year Built</w:t>
            </w:r>
          </w:p>
        </w:tc>
        <w:tc>
          <w:tcPr>
            <w:tcW w:w="159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1989</w:t>
            </w:r>
          </w:p>
        </w:tc>
        <w:tc>
          <w:tcPr>
            <w:tcW w:w="38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22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NOI</w:t>
            </w:r>
          </w:p>
        </w:tc>
        <w:tc>
          <w:tcPr>
            <w:tcW w:w="198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$284,920</w:t>
            </w:r>
          </w:p>
        </w:tc>
      </w:tr>
      <w:tr w:rsidR="002779DF" w:rsidRPr="002779DF" w:rsidTr="00B10FE9">
        <w:trPr>
          <w:trHeight w:val="292"/>
        </w:trPr>
        <w:tc>
          <w:tcPr>
            <w:tcW w:w="26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Last Renovation</w:t>
            </w:r>
          </w:p>
        </w:tc>
        <w:tc>
          <w:tcPr>
            <w:tcW w:w="159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2018</w:t>
            </w:r>
          </w:p>
        </w:tc>
        <w:tc>
          <w:tcPr>
            <w:tcW w:w="38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22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Buying Entity</w:t>
            </w:r>
          </w:p>
        </w:tc>
        <w:tc>
          <w:tcPr>
            <w:tcW w:w="198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Investor</w:t>
            </w:r>
          </w:p>
        </w:tc>
      </w:tr>
      <w:tr w:rsidR="002779DF" w:rsidRPr="002779DF" w:rsidTr="00B10FE9">
        <w:trPr>
          <w:trHeight w:val="292"/>
        </w:trPr>
        <w:tc>
          <w:tcPr>
            <w:tcW w:w="26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Condition</w:t>
            </w:r>
          </w:p>
        </w:tc>
        <w:tc>
          <w:tcPr>
            <w:tcW w:w="159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Good</w:t>
            </w:r>
          </w:p>
        </w:tc>
        <w:tc>
          <w:tcPr>
            <w:tcW w:w="38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22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r>
      <w:tr w:rsidR="002779DF" w:rsidRPr="002779DF" w:rsidTr="00B10FE9">
        <w:trPr>
          <w:trHeight w:val="300"/>
        </w:trPr>
        <w:tc>
          <w:tcPr>
            <w:tcW w:w="26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Number of Buildings</w:t>
            </w:r>
          </w:p>
        </w:tc>
        <w:tc>
          <w:tcPr>
            <w:tcW w:w="159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1</w:t>
            </w:r>
          </w:p>
        </w:tc>
        <w:tc>
          <w:tcPr>
            <w:tcW w:w="38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225" w:type="dxa"/>
            <w:tcBorders>
              <w:top w:val="nil"/>
              <w:left w:val="nil"/>
              <w:bottom w:val="single" w:sz="8" w:space="0" w:color="auto"/>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b/>
                <w:bCs/>
                <w:color w:val="000000"/>
              </w:rPr>
            </w:pPr>
            <w:r w:rsidRPr="002779DF">
              <w:rPr>
                <w:rFonts w:ascii="Calibri" w:eastAsia="Times New Roman" w:hAnsi="Calibri" w:cs="Calibri"/>
                <w:b/>
                <w:bCs/>
                <w:color w:val="000000"/>
              </w:rPr>
              <w:t>Location Information</w:t>
            </w:r>
          </w:p>
        </w:tc>
        <w:tc>
          <w:tcPr>
            <w:tcW w:w="1980" w:type="dxa"/>
            <w:tcBorders>
              <w:top w:val="nil"/>
              <w:left w:val="nil"/>
              <w:bottom w:val="single" w:sz="8" w:space="0" w:color="auto"/>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 </w:t>
            </w:r>
          </w:p>
        </w:tc>
      </w:tr>
      <w:tr w:rsidR="002779DF" w:rsidRPr="002779DF" w:rsidTr="00B10FE9">
        <w:trPr>
          <w:trHeight w:val="292"/>
        </w:trPr>
        <w:tc>
          <w:tcPr>
            <w:tcW w:w="26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Number of Stories</w:t>
            </w:r>
          </w:p>
        </w:tc>
        <w:tc>
          <w:tcPr>
            <w:tcW w:w="159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2</w:t>
            </w:r>
          </w:p>
        </w:tc>
        <w:tc>
          <w:tcPr>
            <w:tcW w:w="38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22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Location</w:t>
            </w:r>
          </w:p>
        </w:tc>
        <w:tc>
          <w:tcPr>
            <w:tcW w:w="198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Harrisburg, PA</w:t>
            </w:r>
          </w:p>
        </w:tc>
      </w:tr>
      <w:tr w:rsidR="002779DF" w:rsidRPr="002779DF" w:rsidTr="00B10FE9">
        <w:trPr>
          <w:trHeight w:val="292"/>
        </w:trPr>
        <w:tc>
          <w:tcPr>
            <w:tcW w:w="26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Number of Parking Spaces</w:t>
            </w:r>
          </w:p>
        </w:tc>
        <w:tc>
          <w:tcPr>
            <w:tcW w:w="159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35</w:t>
            </w:r>
          </w:p>
        </w:tc>
        <w:tc>
          <w:tcPr>
            <w:tcW w:w="38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22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Distance from Subject</w:t>
            </w:r>
          </w:p>
        </w:tc>
        <w:tc>
          <w:tcPr>
            <w:tcW w:w="198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0.7 miles</w:t>
            </w:r>
          </w:p>
        </w:tc>
      </w:tr>
      <w:tr w:rsidR="002779DF" w:rsidRPr="002779DF" w:rsidTr="00B10FE9">
        <w:trPr>
          <w:trHeight w:val="292"/>
        </w:trPr>
        <w:tc>
          <w:tcPr>
            <w:tcW w:w="26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Tenancy Type</w:t>
            </w:r>
          </w:p>
        </w:tc>
        <w:tc>
          <w:tcPr>
            <w:tcW w:w="159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Single-Tenant</w:t>
            </w:r>
          </w:p>
        </w:tc>
        <w:tc>
          <w:tcPr>
            <w:tcW w:w="38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225"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r>
    </w:tbl>
    <w:p w:rsidR="002779DF" w:rsidRDefault="002779DF" w:rsidP="002779DF"/>
    <w:p w:rsidR="00F5441E" w:rsidRPr="00F5441E" w:rsidRDefault="00F5441E" w:rsidP="00F5441E">
      <w:pPr>
        <w:autoSpaceDE w:val="0"/>
        <w:autoSpaceDN w:val="0"/>
        <w:adjustRightInd w:val="0"/>
        <w:spacing w:after="0" w:line="240" w:lineRule="auto"/>
        <w:jc w:val="both"/>
        <w:rPr>
          <w:rFonts w:cstheme="minorHAnsi"/>
        </w:rPr>
      </w:pPr>
      <w:r w:rsidRPr="00F5441E">
        <w:rPr>
          <w:rFonts w:cstheme="minorHAnsi"/>
          <w:b/>
        </w:rPr>
        <w:t>Comments:</w:t>
      </w:r>
      <w:r w:rsidRPr="00F5441E">
        <w:rPr>
          <w:rFonts w:cstheme="minorHAnsi"/>
        </w:rPr>
        <w:t xml:space="preserve"> The property was originally marketed for sale at a price of $3.65 million. Shortly before the sale, the existing tenant renewed with a 7-year lease. Thelease operates on a gross plus janitorial and utility basis with year 1 rent of 15.22 per square foot. The lease has 2.5 percent annual increases starting</w:t>
      </w:r>
    </w:p>
    <w:p w:rsidR="002779DF" w:rsidRDefault="00F5441E" w:rsidP="00F5441E">
      <w:pPr>
        <w:autoSpaceDE w:val="0"/>
        <w:autoSpaceDN w:val="0"/>
        <w:adjustRightInd w:val="0"/>
        <w:spacing w:after="0" w:line="240" w:lineRule="auto"/>
        <w:jc w:val="both"/>
      </w:pPr>
      <w:r w:rsidRPr="00F5441E">
        <w:rPr>
          <w:rFonts w:cstheme="minorHAnsi"/>
        </w:rPr>
        <w:t xml:space="preserve">in year 3. The building was renovated in 2018. Renovations included exterior upgrades such as re-flashing and painting. In addition, the parking lot wasresurfaced and new parking lot lighting was installed. Interior finishes were also updated. The roof had 7-years of warranty remaining on it and was ingood condition. The buyer is an investor and operator of office product in the region. </w:t>
      </w:r>
      <w:r w:rsidR="002779DF" w:rsidRPr="00F5441E">
        <w:rPr>
          <w:rFonts w:cstheme="minorHAnsi"/>
        </w:rPr>
        <w:br w:type="page"/>
      </w:r>
    </w:p>
    <w:p w:rsidR="002779DF" w:rsidRDefault="00EC797A" w:rsidP="0090547B">
      <w:pPr>
        <w:pStyle w:val="ListParagraph"/>
        <w:ind w:left="1800"/>
      </w:pPr>
      <w:r w:rsidRPr="00EC797A">
        <w:rPr>
          <w:noProof/>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501</wp:posOffset>
            </wp:positionV>
            <wp:extent cx="5943600" cy="3620087"/>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20087"/>
                    </a:xfrm>
                    <a:prstGeom prst="rect">
                      <a:avLst/>
                    </a:prstGeom>
                    <a:noFill/>
                    <a:ln>
                      <a:noFill/>
                    </a:ln>
                  </pic:spPr>
                </pic:pic>
              </a:graphicData>
            </a:graphic>
          </wp:anchor>
        </w:drawing>
      </w:r>
    </w:p>
    <w:tbl>
      <w:tblPr>
        <w:tblW w:w="9360" w:type="dxa"/>
        <w:tblLook w:val="04A0"/>
      </w:tblPr>
      <w:tblGrid>
        <w:gridCol w:w="3060"/>
        <w:gridCol w:w="2070"/>
        <w:gridCol w:w="360"/>
        <w:gridCol w:w="2340"/>
        <w:gridCol w:w="1530"/>
      </w:tblGrid>
      <w:tr w:rsidR="002779DF" w:rsidRPr="002779DF" w:rsidTr="00AF52DA">
        <w:trPr>
          <w:trHeight w:val="292"/>
        </w:trPr>
        <w:tc>
          <w:tcPr>
            <w:tcW w:w="30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b/>
                <w:bCs/>
                <w:color w:val="000000"/>
              </w:rPr>
            </w:pPr>
            <w:r w:rsidRPr="002779DF">
              <w:rPr>
                <w:rFonts w:ascii="Calibri" w:eastAsia="Times New Roman" w:hAnsi="Calibri" w:cs="Calibri"/>
                <w:b/>
                <w:bCs/>
                <w:color w:val="000000"/>
              </w:rPr>
              <w:t>Property #2</w:t>
            </w:r>
          </w:p>
        </w:tc>
        <w:tc>
          <w:tcPr>
            <w:tcW w:w="207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b/>
                <w:bCs/>
                <w:color w:val="000000"/>
              </w:rPr>
            </w:pPr>
          </w:p>
        </w:tc>
        <w:tc>
          <w:tcPr>
            <w:tcW w:w="3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c>
          <w:tcPr>
            <w:tcW w:w="23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r>
      <w:tr w:rsidR="002779DF" w:rsidRPr="002779DF" w:rsidTr="00AF52DA">
        <w:trPr>
          <w:trHeight w:val="300"/>
        </w:trPr>
        <w:tc>
          <w:tcPr>
            <w:tcW w:w="3060" w:type="dxa"/>
            <w:tcBorders>
              <w:top w:val="nil"/>
              <w:left w:val="nil"/>
              <w:bottom w:val="single" w:sz="8" w:space="0" w:color="auto"/>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b/>
                <w:bCs/>
                <w:color w:val="000000"/>
              </w:rPr>
            </w:pPr>
            <w:r w:rsidRPr="002779DF">
              <w:rPr>
                <w:rFonts w:ascii="Calibri" w:eastAsia="Times New Roman" w:hAnsi="Calibri" w:cs="Calibri"/>
                <w:b/>
                <w:bCs/>
                <w:color w:val="000000"/>
              </w:rPr>
              <w:t>Property Info</w:t>
            </w:r>
          </w:p>
        </w:tc>
        <w:tc>
          <w:tcPr>
            <w:tcW w:w="2070" w:type="dxa"/>
            <w:tcBorders>
              <w:top w:val="nil"/>
              <w:left w:val="nil"/>
              <w:bottom w:val="single" w:sz="8" w:space="0" w:color="auto"/>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 </w:t>
            </w:r>
          </w:p>
        </w:tc>
        <w:tc>
          <w:tcPr>
            <w:tcW w:w="3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p>
        </w:tc>
        <w:tc>
          <w:tcPr>
            <w:tcW w:w="2340" w:type="dxa"/>
            <w:tcBorders>
              <w:top w:val="nil"/>
              <w:left w:val="nil"/>
              <w:bottom w:val="single" w:sz="8" w:space="0" w:color="auto"/>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b/>
                <w:bCs/>
                <w:color w:val="000000"/>
              </w:rPr>
            </w:pPr>
            <w:r w:rsidRPr="002779DF">
              <w:rPr>
                <w:rFonts w:ascii="Calibri" w:eastAsia="Times New Roman" w:hAnsi="Calibri" w:cs="Calibri"/>
                <w:b/>
                <w:bCs/>
                <w:color w:val="000000"/>
              </w:rPr>
              <w:t>Sale Informatio</w:t>
            </w:r>
            <w:r>
              <w:rPr>
                <w:rFonts w:ascii="Calibri" w:eastAsia="Times New Roman" w:hAnsi="Calibri" w:cs="Calibri"/>
                <w:b/>
                <w:bCs/>
                <w:color w:val="000000"/>
              </w:rPr>
              <w:t>n</w:t>
            </w:r>
          </w:p>
        </w:tc>
        <w:tc>
          <w:tcPr>
            <w:tcW w:w="1530" w:type="dxa"/>
            <w:tcBorders>
              <w:top w:val="nil"/>
              <w:left w:val="nil"/>
              <w:bottom w:val="single" w:sz="8" w:space="0" w:color="auto"/>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 </w:t>
            </w:r>
          </w:p>
        </w:tc>
      </w:tr>
      <w:tr w:rsidR="002779DF" w:rsidRPr="002779DF" w:rsidTr="00AF52DA">
        <w:trPr>
          <w:trHeight w:val="292"/>
        </w:trPr>
        <w:tc>
          <w:tcPr>
            <w:tcW w:w="30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Site Area (Acres)</w:t>
            </w:r>
          </w:p>
        </w:tc>
        <w:tc>
          <w:tcPr>
            <w:tcW w:w="207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1.7</w:t>
            </w:r>
          </w:p>
        </w:tc>
        <w:tc>
          <w:tcPr>
            <w:tcW w:w="3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3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Sale Date</w:t>
            </w:r>
          </w:p>
        </w:tc>
        <w:tc>
          <w:tcPr>
            <w:tcW w:w="153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6/17/2017</w:t>
            </w:r>
          </w:p>
        </w:tc>
      </w:tr>
      <w:tr w:rsidR="002779DF" w:rsidRPr="002779DF" w:rsidTr="00AF52DA">
        <w:trPr>
          <w:trHeight w:val="292"/>
        </w:trPr>
        <w:tc>
          <w:tcPr>
            <w:tcW w:w="30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Building Size (SqFt)</w:t>
            </w:r>
          </w:p>
        </w:tc>
        <w:tc>
          <w:tcPr>
            <w:tcW w:w="207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43,161</w:t>
            </w:r>
          </w:p>
        </w:tc>
        <w:tc>
          <w:tcPr>
            <w:tcW w:w="3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3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Sale Price</w:t>
            </w:r>
          </w:p>
        </w:tc>
        <w:tc>
          <w:tcPr>
            <w:tcW w:w="153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$6,648,743</w:t>
            </w:r>
          </w:p>
        </w:tc>
      </w:tr>
      <w:tr w:rsidR="002779DF" w:rsidRPr="002779DF" w:rsidTr="00AF52DA">
        <w:trPr>
          <w:trHeight w:val="292"/>
        </w:trPr>
        <w:tc>
          <w:tcPr>
            <w:tcW w:w="30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Net Rentable Area (SqFt)</w:t>
            </w:r>
          </w:p>
        </w:tc>
        <w:tc>
          <w:tcPr>
            <w:tcW w:w="207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43,161</w:t>
            </w:r>
          </w:p>
        </w:tc>
        <w:tc>
          <w:tcPr>
            <w:tcW w:w="3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3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Condition of Sale</w:t>
            </w:r>
          </w:p>
        </w:tc>
        <w:tc>
          <w:tcPr>
            <w:tcW w:w="153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Arms-Length</w:t>
            </w:r>
          </w:p>
        </w:tc>
      </w:tr>
      <w:tr w:rsidR="002779DF" w:rsidRPr="002779DF" w:rsidTr="00AF52DA">
        <w:trPr>
          <w:trHeight w:val="292"/>
        </w:trPr>
        <w:tc>
          <w:tcPr>
            <w:tcW w:w="30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Year Built</w:t>
            </w:r>
          </w:p>
        </w:tc>
        <w:tc>
          <w:tcPr>
            <w:tcW w:w="207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1988</w:t>
            </w:r>
          </w:p>
        </w:tc>
        <w:tc>
          <w:tcPr>
            <w:tcW w:w="3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3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NOI</w:t>
            </w:r>
          </w:p>
        </w:tc>
        <w:tc>
          <w:tcPr>
            <w:tcW w:w="153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$598,387</w:t>
            </w:r>
          </w:p>
        </w:tc>
      </w:tr>
      <w:tr w:rsidR="002779DF" w:rsidRPr="002779DF" w:rsidTr="00AF52DA">
        <w:trPr>
          <w:trHeight w:val="292"/>
        </w:trPr>
        <w:tc>
          <w:tcPr>
            <w:tcW w:w="30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Last Renovation</w:t>
            </w:r>
          </w:p>
        </w:tc>
        <w:tc>
          <w:tcPr>
            <w:tcW w:w="207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2004</w:t>
            </w:r>
          </w:p>
        </w:tc>
        <w:tc>
          <w:tcPr>
            <w:tcW w:w="3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3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Buying Entity</w:t>
            </w:r>
          </w:p>
        </w:tc>
        <w:tc>
          <w:tcPr>
            <w:tcW w:w="153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Investor</w:t>
            </w:r>
          </w:p>
        </w:tc>
      </w:tr>
      <w:tr w:rsidR="002779DF" w:rsidRPr="002779DF" w:rsidTr="00AF52DA">
        <w:trPr>
          <w:trHeight w:val="292"/>
        </w:trPr>
        <w:tc>
          <w:tcPr>
            <w:tcW w:w="30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Condition</w:t>
            </w:r>
          </w:p>
        </w:tc>
        <w:tc>
          <w:tcPr>
            <w:tcW w:w="207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Average</w:t>
            </w:r>
          </w:p>
        </w:tc>
        <w:tc>
          <w:tcPr>
            <w:tcW w:w="3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3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r>
      <w:tr w:rsidR="002779DF" w:rsidRPr="002779DF" w:rsidTr="00AF52DA">
        <w:trPr>
          <w:trHeight w:val="300"/>
        </w:trPr>
        <w:tc>
          <w:tcPr>
            <w:tcW w:w="30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Number of Buildings</w:t>
            </w:r>
          </w:p>
        </w:tc>
        <w:tc>
          <w:tcPr>
            <w:tcW w:w="207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1</w:t>
            </w:r>
          </w:p>
        </w:tc>
        <w:tc>
          <w:tcPr>
            <w:tcW w:w="3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340" w:type="dxa"/>
            <w:tcBorders>
              <w:top w:val="nil"/>
              <w:left w:val="nil"/>
              <w:bottom w:val="single" w:sz="8" w:space="0" w:color="auto"/>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b/>
                <w:bCs/>
                <w:color w:val="000000"/>
              </w:rPr>
            </w:pPr>
            <w:r w:rsidRPr="002779DF">
              <w:rPr>
                <w:rFonts w:ascii="Calibri" w:eastAsia="Times New Roman" w:hAnsi="Calibri" w:cs="Calibri"/>
                <w:b/>
                <w:bCs/>
                <w:color w:val="000000"/>
              </w:rPr>
              <w:t>Location Information</w:t>
            </w:r>
          </w:p>
        </w:tc>
        <w:tc>
          <w:tcPr>
            <w:tcW w:w="1530" w:type="dxa"/>
            <w:tcBorders>
              <w:top w:val="nil"/>
              <w:left w:val="nil"/>
              <w:bottom w:val="single" w:sz="8" w:space="0" w:color="auto"/>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 </w:t>
            </w:r>
          </w:p>
        </w:tc>
      </w:tr>
      <w:tr w:rsidR="002779DF" w:rsidRPr="002779DF" w:rsidTr="00AF52DA">
        <w:trPr>
          <w:trHeight w:val="292"/>
        </w:trPr>
        <w:tc>
          <w:tcPr>
            <w:tcW w:w="30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Number of Stories</w:t>
            </w:r>
          </w:p>
        </w:tc>
        <w:tc>
          <w:tcPr>
            <w:tcW w:w="207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2</w:t>
            </w:r>
          </w:p>
        </w:tc>
        <w:tc>
          <w:tcPr>
            <w:tcW w:w="3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3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Location</w:t>
            </w:r>
          </w:p>
        </w:tc>
        <w:tc>
          <w:tcPr>
            <w:tcW w:w="153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Camp Hill, PA</w:t>
            </w:r>
          </w:p>
        </w:tc>
      </w:tr>
      <w:tr w:rsidR="002779DF" w:rsidRPr="002779DF" w:rsidTr="00AF52DA">
        <w:trPr>
          <w:trHeight w:val="292"/>
        </w:trPr>
        <w:tc>
          <w:tcPr>
            <w:tcW w:w="30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Number of Parking Spaces</w:t>
            </w:r>
          </w:p>
        </w:tc>
        <w:tc>
          <w:tcPr>
            <w:tcW w:w="207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178</w:t>
            </w:r>
          </w:p>
        </w:tc>
        <w:tc>
          <w:tcPr>
            <w:tcW w:w="3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3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Distance from Subject</w:t>
            </w:r>
          </w:p>
        </w:tc>
        <w:tc>
          <w:tcPr>
            <w:tcW w:w="153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4.7</w:t>
            </w:r>
          </w:p>
        </w:tc>
      </w:tr>
      <w:tr w:rsidR="002779DF" w:rsidRPr="002779DF" w:rsidTr="00AF52DA">
        <w:trPr>
          <w:trHeight w:val="292"/>
        </w:trPr>
        <w:tc>
          <w:tcPr>
            <w:tcW w:w="30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Calibri" w:eastAsia="Times New Roman" w:hAnsi="Calibri" w:cs="Calibri"/>
                <w:color w:val="000000"/>
              </w:rPr>
            </w:pPr>
            <w:r w:rsidRPr="002779DF">
              <w:rPr>
                <w:rFonts w:ascii="Calibri" w:eastAsia="Times New Roman" w:hAnsi="Calibri" w:cs="Calibri"/>
                <w:color w:val="000000"/>
              </w:rPr>
              <w:t>Tenancy Type</w:t>
            </w:r>
          </w:p>
        </w:tc>
        <w:tc>
          <w:tcPr>
            <w:tcW w:w="207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r w:rsidRPr="002779DF">
              <w:rPr>
                <w:rFonts w:ascii="Calibri" w:eastAsia="Times New Roman" w:hAnsi="Calibri" w:cs="Calibri"/>
                <w:color w:val="000000"/>
              </w:rPr>
              <w:t>Multi-Tenant</w:t>
            </w:r>
          </w:p>
        </w:tc>
        <w:tc>
          <w:tcPr>
            <w:tcW w:w="36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jc w:val="right"/>
              <w:rPr>
                <w:rFonts w:ascii="Calibri" w:eastAsia="Times New Roman" w:hAnsi="Calibri" w:cs="Calibri"/>
                <w:color w:val="000000"/>
              </w:rPr>
            </w:pPr>
          </w:p>
        </w:tc>
        <w:tc>
          <w:tcPr>
            <w:tcW w:w="234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rsidR="002779DF" w:rsidRPr="002779DF" w:rsidRDefault="002779DF" w:rsidP="002779DF">
            <w:pPr>
              <w:spacing w:after="0" w:line="240" w:lineRule="auto"/>
              <w:rPr>
                <w:rFonts w:ascii="Times New Roman" w:eastAsia="Times New Roman" w:hAnsi="Times New Roman" w:cs="Times New Roman"/>
                <w:sz w:val="20"/>
                <w:szCs w:val="20"/>
              </w:rPr>
            </w:pPr>
          </w:p>
        </w:tc>
      </w:tr>
    </w:tbl>
    <w:p w:rsidR="0090547B" w:rsidRDefault="0090547B" w:rsidP="0090547B">
      <w:pPr>
        <w:pStyle w:val="ListParagraph"/>
        <w:ind w:left="1800"/>
      </w:pPr>
    </w:p>
    <w:p w:rsidR="00D802F7" w:rsidRDefault="003248A1" w:rsidP="00AF52DA">
      <w:pPr>
        <w:autoSpaceDE w:val="0"/>
        <w:autoSpaceDN w:val="0"/>
        <w:adjustRightInd w:val="0"/>
        <w:spacing w:after="0" w:line="240" w:lineRule="auto"/>
        <w:jc w:val="both"/>
      </w:pPr>
      <w:r w:rsidRPr="00F5441E">
        <w:rPr>
          <w:rFonts w:cstheme="minorHAnsi"/>
          <w:b/>
        </w:rPr>
        <w:t>Comments</w:t>
      </w:r>
      <w:r w:rsidRPr="00AF52DA">
        <w:rPr>
          <w:rFonts w:cstheme="minorHAnsi"/>
          <w:b/>
        </w:rPr>
        <w:t>:</w:t>
      </w:r>
      <w:r w:rsidR="00AF52DA" w:rsidRPr="00AF52DA">
        <w:rPr>
          <w:rFonts w:cstheme="minorHAnsi"/>
        </w:rPr>
        <w:t>This is the sale of a</w:t>
      </w:r>
      <w:r w:rsidR="00AF52DA">
        <w:rPr>
          <w:rFonts w:cstheme="minorHAnsi"/>
        </w:rPr>
        <w:t>n approximately</w:t>
      </w:r>
      <w:r w:rsidR="00AF52DA" w:rsidRPr="00AF52DA">
        <w:rPr>
          <w:rFonts w:cstheme="minorHAnsi"/>
        </w:rPr>
        <w:t xml:space="preserve"> 4</w:t>
      </w:r>
      <w:r w:rsidR="00AF52DA">
        <w:rPr>
          <w:rFonts w:cstheme="minorHAnsi"/>
        </w:rPr>
        <w:t>3</w:t>
      </w:r>
      <w:r w:rsidR="00AF52DA" w:rsidRPr="00AF52DA">
        <w:rPr>
          <w:rFonts w:cstheme="minorHAnsi"/>
        </w:rPr>
        <w:t>,000 square foot office building built in 1988. The building is located in the Harrisburg West Market. The building was occupiedby three tenants at the time of sale. In-Place NOI was re</w:t>
      </w:r>
      <w:r w:rsidR="007B3FEF">
        <w:rPr>
          <w:rFonts w:cstheme="minorHAnsi"/>
        </w:rPr>
        <w:t>ported as being around $600,000</w:t>
      </w:r>
      <w:r w:rsidR="00AF52DA" w:rsidRPr="00AF52DA">
        <w:rPr>
          <w:rFonts w:cstheme="minorHAnsi"/>
        </w:rPr>
        <w:t>. The major tenants included Urology of Central PA leasing17,000/SF through 11/2026 and Marshall Dennehey leasing 21,728/SF through 12/2023. Market rent for this building was reported at $19.50 FullService.</w:t>
      </w:r>
      <w:r w:rsidR="00D802F7">
        <w:br w:type="page"/>
      </w:r>
    </w:p>
    <w:p w:rsidR="0039375C" w:rsidRDefault="0039375C" w:rsidP="00BF7FCF">
      <w:pPr>
        <w:ind w:left="1080"/>
      </w:pPr>
      <w:r w:rsidRPr="0039375C">
        <w:rPr>
          <w:noProof/>
        </w:rPr>
        <w:lastRenderedPageBreak/>
        <w:drawing>
          <wp:anchor distT="0" distB="0" distL="114300" distR="114300" simplePos="0" relativeHeight="251660288" behindDoc="0" locked="0" layoutInCell="1" allowOverlap="1">
            <wp:simplePos x="0" y="0"/>
            <wp:positionH relativeFrom="column">
              <wp:posOffset>204312</wp:posOffset>
            </wp:positionH>
            <wp:positionV relativeFrom="paragraph">
              <wp:posOffset>30023</wp:posOffset>
            </wp:positionV>
            <wp:extent cx="5943600" cy="33556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55670"/>
                    </a:xfrm>
                    <a:prstGeom prst="rect">
                      <a:avLst/>
                    </a:prstGeom>
                    <a:noFill/>
                    <a:ln>
                      <a:noFill/>
                    </a:ln>
                  </pic:spPr>
                </pic:pic>
              </a:graphicData>
            </a:graphic>
          </wp:anchor>
        </w:drawing>
      </w:r>
    </w:p>
    <w:tbl>
      <w:tblPr>
        <w:tblW w:w="8480" w:type="dxa"/>
        <w:tblInd w:w="445" w:type="dxa"/>
        <w:tblLook w:val="04A0"/>
      </w:tblPr>
      <w:tblGrid>
        <w:gridCol w:w="2640"/>
        <w:gridCol w:w="1410"/>
        <w:gridCol w:w="570"/>
        <w:gridCol w:w="2220"/>
        <w:gridCol w:w="1640"/>
      </w:tblGrid>
      <w:tr w:rsidR="0039375C" w:rsidRPr="0039375C" w:rsidTr="002B3A83">
        <w:trPr>
          <w:trHeight w:val="292"/>
        </w:trPr>
        <w:tc>
          <w:tcPr>
            <w:tcW w:w="2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b/>
                <w:bCs/>
                <w:color w:val="000000"/>
              </w:rPr>
            </w:pPr>
            <w:r w:rsidRPr="0039375C">
              <w:rPr>
                <w:rFonts w:ascii="Calibri" w:eastAsia="Times New Roman" w:hAnsi="Calibri" w:cs="Calibri"/>
                <w:b/>
                <w:bCs/>
                <w:color w:val="000000"/>
              </w:rPr>
              <w:t>Property #3</w:t>
            </w:r>
          </w:p>
        </w:tc>
        <w:tc>
          <w:tcPr>
            <w:tcW w:w="141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b/>
                <w:bCs/>
                <w:color w:val="000000"/>
              </w:rPr>
            </w:pPr>
          </w:p>
        </w:tc>
        <w:tc>
          <w:tcPr>
            <w:tcW w:w="57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Times New Roman" w:eastAsia="Times New Roman" w:hAnsi="Times New Roman" w:cs="Times New Roman"/>
                <w:sz w:val="20"/>
                <w:szCs w:val="20"/>
              </w:rPr>
            </w:pPr>
          </w:p>
        </w:tc>
      </w:tr>
      <w:tr w:rsidR="0039375C" w:rsidRPr="0039375C" w:rsidTr="002B3A83">
        <w:trPr>
          <w:trHeight w:val="300"/>
        </w:trPr>
        <w:tc>
          <w:tcPr>
            <w:tcW w:w="2640" w:type="dxa"/>
            <w:tcBorders>
              <w:top w:val="nil"/>
              <w:left w:val="nil"/>
              <w:bottom w:val="single" w:sz="8" w:space="0" w:color="auto"/>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b/>
                <w:bCs/>
                <w:color w:val="000000"/>
              </w:rPr>
            </w:pPr>
            <w:r w:rsidRPr="0039375C">
              <w:rPr>
                <w:rFonts w:ascii="Calibri" w:eastAsia="Times New Roman" w:hAnsi="Calibri" w:cs="Calibri"/>
                <w:b/>
                <w:bCs/>
                <w:color w:val="000000"/>
              </w:rPr>
              <w:t>Property Info</w:t>
            </w:r>
          </w:p>
        </w:tc>
        <w:tc>
          <w:tcPr>
            <w:tcW w:w="1410" w:type="dxa"/>
            <w:tcBorders>
              <w:top w:val="nil"/>
              <w:left w:val="nil"/>
              <w:bottom w:val="single" w:sz="8" w:space="0" w:color="auto"/>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 </w:t>
            </w:r>
          </w:p>
        </w:tc>
        <w:tc>
          <w:tcPr>
            <w:tcW w:w="57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p>
        </w:tc>
        <w:tc>
          <w:tcPr>
            <w:tcW w:w="2220" w:type="dxa"/>
            <w:tcBorders>
              <w:top w:val="nil"/>
              <w:left w:val="nil"/>
              <w:bottom w:val="single" w:sz="8" w:space="0" w:color="auto"/>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b/>
                <w:bCs/>
                <w:color w:val="000000"/>
              </w:rPr>
            </w:pPr>
            <w:r w:rsidRPr="0039375C">
              <w:rPr>
                <w:rFonts w:ascii="Calibri" w:eastAsia="Times New Roman" w:hAnsi="Calibri" w:cs="Calibri"/>
                <w:b/>
                <w:bCs/>
                <w:color w:val="000000"/>
              </w:rPr>
              <w:t>Sale Information</w:t>
            </w:r>
          </w:p>
        </w:tc>
        <w:tc>
          <w:tcPr>
            <w:tcW w:w="1640" w:type="dxa"/>
            <w:tcBorders>
              <w:top w:val="nil"/>
              <w:left w:val="nil"/>
              <w:bottom w:val="single" w:sz="8" w:space="0" w:color="auto"/>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 </w:t>
            </w:r>
          </w:p>
        </w:tc>
      </w:tr>
      <w:tr w:rsidR="0039375C" w:rsidRPr="0039375C" w:rsidTr="002B3A83">
        <w:trPr>
          <w:trHeight w:val="292"/>
        </w:trPr>
        <w:tc>
          <w:tcPr>
            <w:tcW w:w="2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Site Area (Acres)</w:t>
            </w:r>
          </w:p>
        </w:tc>
        <w:tc>
          <w:tcPr>
            <w:tcW w:w="141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1.1</w:t>
            </w:r>
          </w:p>
        </w:tc>
        <w:tc>
          <w:tcPr>
            <w:tcW w:w="57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Sale Date</w:t>
            </w:r>
          </w:p>
        </w:tc>
        <w:tc>
          <w:tcPr>
            <w:tcW w:w="1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5/25/2017</w:t>
            </w:r>
          </w:p>
        </w:tc>
      </w:tr>
      <w:tr w:rsidR="0039375C" w:rsidRPr="0039375C" w:rsidTr="002B3A83">
        <w:trPr>
          <w:trHeight w:val="292"/>
        </w:trPr>
        <w:tc>
          <w:tcPr>
            <w:tcW w:w="2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Building Size (SqFt)</w:t>
            </w:r>
          </w:p>
        </w:tc>
        <w:tc>
          <w:tcPr>
            <w:tcW w:w="141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64,169</w:t>
            </w:r>
          </w:p>
        </w:tc>
        <w:tc>
          <w:tcPr>
            <w:tcW w:w="57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Sale Price</w:t>
            </w:r>
          </w:p>
        </w:tc>
        <w:tc>
          <w:tcPr>
            <w:tcW w:w="1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$5,240,000</w:t>
            </w:r>
          </w:p>
        </w:tc>
      </w:tr>
      <w:tr w:rsidR="0039375C" w:rsidRPr="0039375C" w:rsidTr="002B3A83">
        <w:trPr>
          <w:trHeight w:val="292"/>
        </w:trPr>
        <w:tc>
          <w:tcPr>
            <w:tcW w:w="2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Net Rentable Area (SqFt)</w:t>
            </w:r>
          </w:p>
        </w:tc>
        <w:tc>
          <w:tcPr>
            <w:tcW w:w="141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64,169</w:t>
            </w:r>
          </w:p>
        </w:tc>
        <w:tc>
          <w:tcPr>
            <w:tcW w:w="57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Condition of Sale</w:t>
            </w:r>
          </w:p>
        </w:tc>
        <w:tc>
          <w:tcPr>
            <w:tcW w:w="1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Arms-Length</w:t>
            </w:r>
          </w:p>
        </w:tc>
      </w:tr>
      <w:tr w:rsidR="0039375C" w:rsidRPr="0039375C" w:rsidTr="002B3A83">
        <w:trPr>
          <w:trHeight w:val="292"/>
        </w:trPr>
        <w:tc>
          <w:tcPr>
            <w:tcW w:w="2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Year Built</w:t>
            </w:r>
          </w:p>
        </w:tc>
        <w:tc>
          <w:tcPr>
            <w:tcW w:w="141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1980</w:t>
            </w:r>
          </w:p>
        </w:tc>
        <w:tc>
          <w:tcPr>
            <w:tcW w:w="57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NOI</w:t>
            </w:r>
          </w:p>
        </w:tc>
        <w:tc>
          <w:tcPr>
            <w:tcW w:w="1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$520,856</w:t>
            </w:r>
          </w:p>
        </w:tc>
      </w:tr>
      <w:tr w:rsidR="0039375C" w:rsidRPr="0039375C" w:rsidTr="002B3A83">
        <w:trPr>
          <w:trHeight w:val="292"/>
        </w:trPr>
        <w:tc>
          <w:tcPr>
            <w:tcW w:w="2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Last Renovation</w:t>
            </w:r>
          </w:p>
        </w:tc>
        <w:tc>
          <w:tcPr>
            <w:tcW w:w="141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2012</w:t>
            </w:r>
          </w:p>
        </w:tc>
        <w:tc>
          <w:tcPr>
            <w:tcW w:w="57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Buying Entity</w:t>
            </w:r>
          </w:p>
        </w:tc>
        <w:tc>
          <w:tcPr>
            <w:tcW w:w="1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Investor</w:t>
            </w:r>
          </w:p>
        </w:tc>
      </w:tr>
      <w:tr w:rsidR="0039375C" w:rsidRPr="0039375C" w:rsidTr="002B3A83">
        <w:trPr>
          <w:trHeight w:val="292"/>
        </w:trPr>
        <w:tc>
          <w:tcPr>
            <w:tcW w:w="2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Condition</w:t>
            </w:r>
          </w:p>
        </w:tc>
        <w:tc>
          <w:tcPr>
            <w:tcW w:w="141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Average</w:t>
            </w:r>
          </w:p>
        </w:tc>
        <w:tc>
          <w:tcPr>
            <w:tcW w:w="57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Times New Roman" w:eastAsia="Times New Roman" w:hAnsi="Times New Roman" w:cs="Times New Roman"/>
                <w:sz w:val="20"/>
                <w:szCs w:val="20"/>
              </w:rPr>
            </w:pPr>
          </w:p>
        </w:tc>
      </w:tr>
      <w:tr w:rsidR="0039375C" w:rsidRPr="0039375C" w:rsidTr="002B3A83">
        <w:trPr>
          <w:trHeight w:val="300"/>
        </w:trPr>
        <w:tc>
          <w:tcPr>
            <w:tcW w:w="2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Number of Buildings</w:t>
            </w:r>
          </w:p>
        </w:tc>
        <w:tc>
          <w:tcPr>
            <w:tcW w:w="141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1</w:t>
            </w:r>
          </w:p>
        </w:tc>
        <w:tc>
          <w:tcPr>
            <w:tcW w:w="57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p>
        </w:tc>
        <w:tc>
          <w:tcPr>
            <w:tcW w:w="2220" w:type="dxa"/>
            <w:tcBorders>
              <w:top w:val="nil"/>
              <w:left w:val="nil"/>
              <w:bottom w:val="single" w:sz="8" w:space="0" w:color="auto"/>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b/>
                <w:bCs/>
                <w:color w:val="000000"/>
              </w:rPr>
            </w:pPr>
            <w:r w:rsidRPr="0039375C">
              <w:rPr>
                <w:rFonts w:ascii="Calibri" w:eastAsia="Times New Roman" w:hAnsi="Calibri" w:cs="Calibri"/>
                <w:b/>
                <w:bCs/>
                <w:color w:val="000000"/>
              </w:rPr>
              <w:t>Location Information</w:t>
            </w:r>
          </w:p>
        </w:tc>
        <w:tc>
          <w:tcPr>
            <w:tcW w:w="1640" w:type="dxa"/>
            <w:tcBorders>
              <w:top w:val="nil"/>
              <w:left w:val="nil"/>
              <w:bottom w:val="single" w:sz="8" w:space="0" w:color="auto"/>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 </w:t>
            </w:r>
          </w:p>
        </w:tc>
      </w:tr>
      <w:tr w:rsidR="0039375C" w:rsidRPr="0039375C" w:rsidTr="002B3A83">
        <w:trPr>
          <w:trHeight w:val="292"/>
        </w:trPr>
        <w:tc>
          <w:tcPr>
            <w:tcW w:w="2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Number of Stories</w:t>
            </w:r>
          </w:p>
        </w:tc>
        <w:tc>
          <w:tcPr>
            <w:tcW w:w="141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1</w:t>
            </w:r>
          </w:p>
        </w:tc>
        <w:tc>
          <w:tcPr>
            <w:tcW w:w="57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Location</w:t>
            </w:r>
          </w:p>
        </w:tc>
        <w:tc>
          <w:tcPr>
            <w:tcW w:w="1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Harrisburg, PA</w:t>
            </w:r>
          </w:p>
        </w:tc>
      </w:tr>
      <w:tr w:rsidR="0039375C" w:rsidRPr="0039375C" w:rsidTr="002B3A83">
        <w:trPr>
          <w:trHeight w:val="292"/>
        </w:trPr>
        <w:tc>
          <w:tcPr>
            <w:tcW w:w="2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Number of Parking Spaces</w:t>
            </w:r>
          </w:p>
        </w:tc>
        <w:tc>
          <w:tcPr>
            <w:tcW w:w="141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100</w:t>
            </w:r>
          </w:p>
        </w:tc>
        <w:tc>
          <w:tcPr>
            <w:tcW w:w="57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Distance from Subject</w:t>
            </w:r>
          </w:p>
        </w:tc>
        <w:tc>
          <w:tcPr>
            <w:tcW w:w="1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0.27</w:t>
            </w:r>
          </w:p>
        </w:tc>
      </w:tr>
      <w:tr w:rsidR="0039375C" w:rsidRPr="0039375C" w:rsidTr="002B3A83">
        <w:trPr>
          <w:trHeight w:val="292"/>
        </w:trPr>
        <w:tc>
          <w:tcPr>
            <w:tcW w:w="2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Calibri" w:eastAsia="Times New Roman" w:hAnsi="Calibri" w:cs="Calibri"/>
                <w:color w:val="000000"/>
              </w:rPr>
            </w:pPr>
            <w:r w:rsidRPr="0039375C">
              <w:rPr>
                <w:rFonts w:ascii="Calibri" w:eastAsia="Times New Roman" w:hAnsi="Calibri" w:cs="Calibri"/>
                <w:color w:val="000000"/>
              </w:rPr>
              <w:t>Tenancy Type</w:t>
            </w:r>
          </w:p>
        </w:tc>
        <w:tc>
          <w:tcPr>
            <w:tcW w:w="141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r w:rsidRPr="0039375C">
              <w:rPr>
                <w:rFonts w:ascii="Calibri" w:eastAsia="Times New Roman" w:hAnsi="Calibri" w:cs="Calibri"/>
                <w:color w:val="000000"/>
              </w:rPr>
              <w:t>Multi-Tenant</w:t>
            </w:r>
          </w:p>
        </w:tc>
        <w:tc>
          <w:tcPr>
            <w:tcW w:w="57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39375C" w:rsidRPr="0039375C" w:rsidRDefault="0039375C" w:rsidP="0039375C">
            <w:pPr>
              <w:spacing w:after="0" w:line="240" w:lineRule="auto"/>
              <w:rPr>
                <w:rFonts w:ascii="Times New Roman" w:eastAsia="Times New Roman" w:hAnsi="Times New Roman" w:cs="Times New Roman"/>
                <w:sz w:val="20"/>
                <w:szCs w:val="20"/>
              </w:rPr>
            </w:pPr>
          </w:p>
        </w:tc>
      </w:tr>
    </w:tbl>
    <w:p w:rsidR="00EE6175" w:rsidRDefault="00EE6175" w:rsidP="00BF7FCF">
      <w:pPr>
        <w:ind w:left="1080"/>
      </w:pPr>
    </w:p>
    <w:p w:rsidR="003F6DC0" w:rsidRPr="003F6DC0" w:rsidRDefault="003F6DC0" w:rsidP="003F6DC0">
      <w:pPr>
        <w:autoSpaceDE w:val="0"/>
        <w:autoSpaceDN w:val="0"/>
        <w:adjustRightInd w:val="0"/>
        <w:spacing w:after="0" w:line="240" w:lineRule="auto"/>
        <w:rPr>
          <w:rFonts w:cstheme="minorHAnsi"/>
        </w:rPr>
      </w:pPr>
      <w:r w:rsidRPr="003F6DC0">
        <w:rPr>
          <w:rFonts w:cstheme="minorHAnsi"/>
          <w:b/>
        </w:rPr>
        <w:t>Comments:</w:t>
      </w:r>
      <w:r w:rsidRPr="003F6DC0">
        <w:rPr>
          <w:rFonts w:cstheme="minorHAnsi"/>
        </w:rPr>
        <w:t xml:space="preserve"> This is a sale of a fully leased medical office building/fitness center. The building is leased to the Orthopedic Institute of PA and Central PennsylvaniaFitness Center. The initial asking price was $5,950,000 and the property was on the market for 4 months.</w:t>
      </w:r>
    </w:p>
    <w:p w:rsidR="00EE6175" w:rsidRDefault="00EE6175">
      <w:r>
        <w:br w:type="page"/>
      </w:r>
    </w:p>
    <w:p w:rsidR="00AB157C" w:rsidRDefault="00AB157C" w:rsidP="00BF7FCF">
      <w:pPr>
        <w:ind w:left="1080"/>
      </w:pPr>
      <w:r w:rsidRPr="00AB157C">
        <w:rPr>
          <w:noProof/>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1775</wp:posOffset>
            </wp:positionV>
            <wp:extent cx="4429760" cy="326263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760" cy="3262630"/>
                    </a:xfrm>
                    <a:prstGeom prst="rect">
                      <a:avLst/>
                    </a:prstGeom>
                    <a:noFill/>
                    <a:ln>
                      <a:noFill/>
                    </a:ln>
                  </pic:spPr>
                </pic:pic>
              </a:graphicData>
            </a:graphic>
          </wp:anchor>
        </w:drawing>
      </w:r>
    </w:p>
    <w:p w:rsidR="00BF7FCF" w:rsidRDefault="00BF7FCF" w:rsidP="00BF7FCF">
      <w:pPr>
        <w:ind w:left="1080"/>
      </w:pPr>
    </w:p>
    <w:p w:rsidR="00AB157C" w:rsidRDefault="00AB157C" w:rsidP="00BF7FCF">
      <w:pPr>
        <w:ind w:left="1080"/>
      </w:pPr>
    </w:p>
    <w:p w:rsidR="00AB157C" w:rsidRDefault="00AB157C" w:rsidP="00BF7FCF">
      <w:pPr>
        <w:ind w:left="1080"/>
      </w:pPr>
    </w:p>
    <w:p w:rsidR="00AB157C" w:rsidRDefault="00AB157C" w:rsidP="00BF7FCF">
      <w:pPr>
        <w:ind w:left="1080"/>
      </w:pPr>
    </w:p>
    <w:p w:rsidR="00AB157C" w:rsidRDefault="00AB157C" w:rsidP="00BF7FCF">
      <w:pPr>
        <w:ind w:left="1080"/>
      </w:pPr>
    </w:p>
    <w:p w:rsidR="00AB157C" w:rsidRDefault="00AB157C" w:rsidP="00BF7FCF">
      <w:pPr>
        <w:ind w:left="1080"/>
      </w:pPr>
    </w:p>
    <w:p w:rsidR="00AB157C" w:rsidRDefault="00AB157C" w:rsidP="00BF7FCF">
      <w:pPr>
        <w:ind w:left="1080"/>
      </w:pPr>
    </w:p>
    <w:p w:rsidR="00AB157C" w:rsidRDefault="00AB157C" w:rsidP="00BF7FCF">
      <w:pPr>
        <w:ind w:left="1080"/>
      </w:pPr>
    </w:p>
    <w:p w:rsidR="00AB157C" w:rsidRDefault="00AB157C" w:rsidP="00BF7FCF">
      <w:pPr>
        <w:ind w:left="1080"/>
      </w:pPr>
    </w:p>
    <w:p w:rsidR="00AB157C" w:rsidRDefault="00AB157C" w:rsidP="00BF7FCF">
      <w:pPr>
        <w:ind w:left="1080"/>
      </w:pPr>
    </w:p>
    <w:tbl>
      <w:tblPr>
        <w:tblpPr w:leftFromText="180" w:rightFromText="180" w:vertAnchor="text" w:horzAnchor="margin" w:tblpY="402"/>
        <w:tblW w:w="8820" w:type="dxa"/>
        <w:tblLook w:val="04A0"/>
      </w:tblPr>
      <w:tblGrid>
        <w:gridCol w:w="2640"/>
        <w:gridCol w:w="1500"/>
        <w:gridCol w:w="480"/>
        <w:gridCol w:w="2220"/>
        <w:gridCol w:w="1980"/>
      </w:tblGrid>
      <w:tr w:rsidR="009E27B5" w:rsidRPr="00AB157C" w:rsidTr="009E27B5">
        <w:trPr>
          <w:trHeight w:val="292"/>
        </w:trPr>
        <w:tc>
          <w:tcPr>
            <w:tcW w:w="264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b/>
                <w:bCs/>
                <w:color w:val="000000"/>
              </w:rPr>
            </w:pPr>
            <w:r w:rsidRPr="00AB157C">
              <w:rPr>
                <w:rFonts w:ascii="Calibri" w:eastAsia="Times New Roman" w:hAnsi="Calibri" w:cs="Calibri"/>
                <w:b/>
                <w:bCs/>
                <w:color w:val="000000"/>
              </w:rPr>
              <w:t>Property #4</w:t>
            </w:r>
          </w:p>
        </w:tc>
        <w:tc>
          <w:tcPr>
            <w:tcW w:w="150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b/>
                <w:bCs/>
                <w:color w:val="000000"/>
              </w:rPr>
            </w:pPr>
          </w:p>
        </w:tc>
        <w:tc>
          <w:tcPr>
            <w:tcW w:w="4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Times New Roman" w:eastAsia="Times New Roman" w:hAnsi="Times New Roman" w:cs="Times New Roman"/>
                <w:sz w:val="20"/>
                <w:szCs w:val="20"/>
              </w:rPr>
            </w:pPr>
          </w:p>
        </w:tc>
        <w:tc>
          <w:tcPr>
            <w:tcW w:w="222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Times New Roman" w:eastAsia="Times New Roman" w:hAnsi="Times New Roman" w:cs="Times New Roman"/>
                <w:sz w:val="20"/>
                <w:szCs w:val="20"/>
              </w:rPr>
            </w:pPr>
          </w:p>
        </w:tc>
      </w:tr>
      <w:tr w:rsidR="009E27B5" w:rsidRPr="00AB157C" w:rsidTr="009E27B5">
        <w:trPr>
          <w:trHeight w:val="300"/>
        </w:trPr>
        <w:tc>
          <w:tcPr>
            <w:tcW w:w="2640" w:type="dxa"/>
            <w:tcBorders>
              <w:top w:val="nil"/>
              <w:left w:val="nil"/>
              <w:bottom w:val="single" w:sz="8" w:space="0" w:color="auto"/>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b/>
                <w:bCs/>
                <w:color w:val="000000"/>
              </w:rPr>
            </w:pPr>
            <w:r w:rsidRPr="00AB157C">
              <w:rPr>
                <w:rFonts w:ascii="Calibri" w:eastAsia="Times New Roman" w:hAnsi="Calibri" w:cs="Calibri"/>
                <w:b/>
                <w:bCs/>
                <w:color w:val="000000"/>
              </w:rPr>
              <w:t>Property Info</w:t>
            </w:r>
          </w:p>
        </w:tc>
        <w:tc>
          <w:tcPr>
            <w:tcW w:w="1500" w:type="dxa"/>
            <w:tcBorders>
              <w:top w:val="nil"/>
              <w:left w:val="nil"/>
              <w:bottom w:val="single" w:sz="8" w:space="0" w:color="auto"/>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 </w:t>
            </w:r>
          </w:p>
        </w:tc>
        <w:tc>
          <w:tcPr>
            <w:tcW w:w="4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p>
        </w:tc>
        <w:tc>
          <w:tcPr>
            <w:tcW w:w="2220" w:type="dxa"/>
            <w:tcBorders>
              <w:top w:val="nil"/>
              <w:left w:val="nil"/>
              <w:bottom w:val="single" w:sz="8" w:space="0" w:color="auto"/>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b/>
                <w:bCs/>
                <w:color w:val="000000"/>
              </w:rPr>
            </w:pPr>
            <w:r w:rsidRPr="00AB157C">
              <w:rPr>
                <w:rFonts w:ascii="Calibri" w:eastAsia="Times New Roman" w:hAnsi="Calibri" w:cs="Calibri"/>
                <w:b/>
                <w:bCs/>
                <w:color w:val="000000"/>
              </w:rPr>
              <w:t>Sale Information</w:t>
            </w:r>
          </w:p>
        </w:tc>
        <w:tc>
          <w:tcPr>
            <w:tcW w:w="1980" w:type="dxa"/>
            <w:tcBorders>
              <w:top w:val="nil"/>
              <w:left w:val="nil"/>
              <w:bottom w:val="single" w:sz="8" w:space="0" w:color="auto"/>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 </w:t>
            </w:r>
          </w:p>
        </w:tc>
      </w:tr>
      <w:tr w:rsidR="009E27B5" w:rsidRPr="00AB157C" w:rsidTr="009E27B5">
        <w:trPr>
          <w:trHeight w:val="292"/>
        </w:trPr>
        <w:tc>
          <w:tcPr>
            <w:tcW w:w="264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Site Area (Acres)</w:t>
            </w:r>
          </w:p>
        </w:tc>
        <w:tc>
          <w:tcPr>
            <w:tcW w:w="150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2.8</w:t>
            </w:r>
          </w:p>
        </w:tc>
        <w:tc>
          <w:tcPr>
            <w:tcW w:w="4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Sale Date</w:t>
            </w:r>
          </w:p>
        </w:tc>
        <w:tc>
          <w:tcPr>
            <w:tcW w:w="19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2/20/2018</w:t>
            </w:r>
          </w:p>
        </w:tc>
      </w:tr>
      <w:tr w:rsidR="009E27B5" w:rsidRPr="00AB157C" w:rsidTr="009E27B5">
        <w:trPr>
          <w:trHeight w:val="292"/>
        </w:trPr>
        <w:tc>
          <w:tcPr>
            <w:tcW w:w="264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Building Size (SqFt)</w:t>
            </w:r>
          </w:p>
        </w:tc>
        <w:tc>
          <w:tcPr>
            <w:tcW w:w="150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11,250</w:t>
            </w:r>
          </w:p>
        </w:tc>
        <w:tc>
          <w:tcPr>
            <w:tcW w:w="4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Sale Price</w:t>
            </w:r>
          </w:p>
        </w:tc>
        <w:tc>
          <w:tcPr>
            <w:tcW w:w="19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$1,450,000</w:t>
            </w:r>
          </w:p>
        </w:tc>
      </w:tr>
      <w:tr w:rsidR="009E27B5" w:rsidRPr="00AB157C" w:rsidTr="009E27B5">
        <w:trPr>
          <w:trHeight w:val="292"/>
        </w:trPr>
        <w:tc>
          <w:tcPr>
            <w:tcW w:w="264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Net Rentable Area (SqFt)</w:t>
            </w:r>
          </w:p>
        </w:tc>
        <w:tc>
          <w:tcPr>
            <w:tcW w:w="150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11,250</w:t>
            </w:r>
          </w:p>
        </w:tc>
        <w:tc>
          <w:tcPr>
            <w:tcW w:w="4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Condition of Sale</w:t>
            </w:r>
          </w:p>
        </w:tc>
        <w:tc>
          <w:tcPr>
            <w:tcW w:w="19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Arms-Length</w:t>
            </w:r>
          </w:p>
        </w:tc>
      </w:tr>
      <w:tr w:rsidR="009E27B5" w:rsidRPr="00AB157C" w:rsidTr="009E27B5">
        <w:trPr>
          <w:trHeight w:val="292"/>
        </w:trPr>
        <w:tc>
          <w:tcPr>
            <w:tcW w:w="264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Year Built</w:t>
            </w:r>
          </w:p>
        </w:tc>
        <w:tc>
          <w:tcPr>
            <w:tcW w:w="150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1980</w:t>
            </w:r>
          </w:p>
        </w:tc>
        <w:tc>
          <w:tcPr>
            <w:tcW w:w="4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NOI</w:t>
            </w:r>
          </w:p>
        </w:tc>
        <w:tc>
          <w:tcPr>
            <w:tcW w:w="19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$116,000</w:t>
            </w:r>
          </w:p>
        </w:tc>
      </w:tr>
      <w:tr w:rsidR="009E27B5" w:rsidRPr="00AB157C" w:rsidTr="009E27B5">
        <w:trPr>
          <w:trHeight w:val="292"/>
        </w:trPr>
        <w:tc>
          <w:tcPr>
            <w:tcW w:w="264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Last Renovation</w:t>
            </w:r>
          </w:p>
        </w:tc>
        <w:tc>
          <w:tcPr>
            <w:tcW w:w="150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2012</w:t>
            </w:r>
          </w:p>
        </w:tc>
        <w:tc>
          <w:tcPr>
            <w:tcW w:w="4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Buying Entity</w:t>
            </w:r>
          </w:p>
        </w:tc>
        <w:tc>
          <w:tcPr>
            <w:tcW w:w="19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Investor</w:t>
            </w:r>
          </w:p>
        </w:tc>
      </w:tr>
      <w:tr w:rsidR="009E27B5" w:rsidRPr="00AB157C" w:rsidTr="009E27B5">
        <w:trPr>
          <w:trHeight w:val="292"/>
        </w:trPr>
        <w:tc>
          <w:tcPr>
            <w:tcW w:w="264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Condition</w:t>
            </w:r>
          </w:p>
        </w:tc>
        <w:tc>
          <w:tcPr>
            <w:tcW w:w="150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Average</w:t>
            </w:r>
          </w:p>
        </w:tc>
        <w:tc>
          <w:tcPr>
            <w:tcW w:w="4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Times New Roman" w:eastAsia="Times New Roman" w:hAnsi="Times New Roman" w:cs="Times New Roman"/>
                <w:sz w:val="20"/>
                <w:szCs w:val="20"/>
              </w:rPr>
            </w:pPr>
          </w:p>
        </w:tc>
      </w:tr>
      <w:tr w:rsidR="009E27B5" w:rsidRPr="00AB157C" w:rsidTr="009E27B5">
        <w:trPr>
          <w:trHeight w:val="300"/>
        </w:trPr>
        <w:tc>
          <w:tcPr>
            <w:tcW w:w="264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Number of Buildings</w:t>
            </w:r>
          </w:p>
        </w:tc>
        <w:tc>
          <w:tcPr>
            <w:tcW w:w="150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1</w:t>
            </w:r>
          </w:p>
        </w:tc>
        <w:tc>
          <w:tcPr>
            <w:tcW w:w="4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p>
        </w:tc>
        <w:tc>
          <w:tcPr>
            <w:tcW w:w="2220" w:type="dxa"/>
            <w:tcBorders>
              <w:top w:val="nil"/>
              <w:left w:val="nil"/>
              <w:bottom w:val="single" w:sz="8" w:space="0" w:color="auto"/>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b/>
                <w:bCs/>
                <w:color w:val="000000"/>
              </w:rPr>
            </w:pPr>
            <w:r w:rsidRPr="00AB157C">
              <w:rPr>
                <w:rFonts w:ascii="Calibri" w:eastAsia="Times New Roman" w:hAnsi="Calibri" w:cs="Calibri"/>
                <w:b/>
                <w:bCs/>
                <w:color w:val="000000"/>
              </w:rPr>
              <w:t>Location Information</w:t>
            </w:r>
          </w:p>
        </w:tc>
        <w:tc>
          <w:tcPr>
            <w:tcW w:w="1980" w:type="dxa"/>
            <w:tcBorders>
              <w:top w:val="nil"/>
              <w:left w:val="nil"/>
              <w:bottom w:val="single" w:sz="8" w:space="0" w:color="auto"/>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 </w:t>
            </w:r>
          </w:p>
        </w:tc>
      </w:tr>
      <w:tr w:rsidR="009E27B5" w:rsidRPr="00AB157C" w:rsidTr="009E27B5">
        <w:trPr>
          <w:trHeight w:val="292"/>
        </w:trPr>
        <w:tc>
          <w:tcPr>
            <w:tcW w:w="264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Number of Stories</w:t>
            </w:r>
          </w:p>
        </w:tc>
        <w:tc>
          <w:tcPr>
            <w:tcW w:w="150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3</w:t>
            </w:r>
          </w:p>
        </w:tc>
        <w:tc>
          <w:tcPr>
            <w:tcW w:w="4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Location</w:t>
            </w:r>
          </w:p>
        </w:tc>
        <w:tc>
          <w:tcPr>
            <w:tcW w:w="19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Camp Hill, PA</w:t>
            </w:r>
          </w:p>
        </w:tc>
      </w:tr>
      <w:tr w:rsidR="009E27B5" w:rsidRPr="00AB157C" w:rsidTr="009E27B5">
        <w:trPr>
          <w:trHeight w:val="292"/>
        </w:trPr>
        <w:tc>
          <w:tcPr>
            <w:tcW w:w="264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Number of Parking Spaces</w:t>
            </w:r>
          </w:p>
        </w:tc>
        <w:tc>
          <w:tcPr>
            <w:tcW w:w="150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40</w:t>
            </w:r>
          </w:p>
        </w:tc>
        <w:tc>
          <w:tcPr>
            <w:tcW w:w="4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Distance from Subject</w:t>
            </w:r>
          </w:p>
        </w:tc>
        <w:tc>
          <w:tcPr>
            <w:tcW w:w="19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4.6</w:t>
            </w:r>
          </w:p>
        </w:tc>
      </w:tr>
      <w:tr w:rsidR="009E27B5" w:rsidRPr="00AB157C" w:rsidTr="009E27B5">
        <w:trPr>
          <w:trHeight w:val="292"/>
        </w:trPr>
        <w:tc>
          <w:tcPr>
            <w:tcW w:w="264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Calibri" w:eastAsia="Times New Roman" w:hAnsi="Calibri" w:cs="Calibri"/>
                <w:color w:val="000000"/>
              </w:rPr>
            </w:pPr>
            <w:r w:rsidRPr="00AB157C">
              <w:rPr>
                <w:rFonts w:ascii="Calibri" w:eastAsia="Times New Roman" w:hAnsi="Calibri" w:cs="Calibri"/>
                <w:color w:val="000000"/>
              </w:rPr>
              <w:t>Tenancy Type</w:t>
            </w:r>
          </w:p>
        </w:tc>
        <w:tc>
          <w:tcPr>
            <w:tcW w:w="150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r w:rsidRPr="00AB157C">
              <w:rPr>
                <w:rFonts w:ascii="Calibri" w:eastAsia="Times New Roman" w:hAnsi="Calibri" w:cs="Calibri"/>
                <w:color w:val="000000"/>
              </w:rPr>
              <w:t>Multi-Tenant</w:t>
            </w:r>
          </w:p>
        </w:tc>
        <w:tc>
          <w:tcPr>
            <w:tcW w:w="4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jc w:val="right"/>
              <w:rPr>
                <w:rFonts w:ascii="Calibri" w:eastAsia="Times New Roman" w:hAnsi="Calibri" w:cs="Calibri"/>
                <w:color w:val="000000"/>
              </w:rPr>
            </w:pPr>
          </w:p>
        </w:tc>
        <w:tc>
          <w:tcPr>
            <w:tcW w:w="222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Times New Roman" w:eastAsia="Times New Roman" w:hAnsi="Times New Roman" w:cs="Times New Roman"/>
                <w:sz w:val="20"/>
                <w:szCs w:val="20"/>
              </w:rPr>
            </w:pPr>
          </w:p>
        </w:tc>
        <w:tc>
          <w:tcPr>
            <w:tcW w:w="1980" w:type="dxa"/>
            <w:tcBorders>
              <w:top w:val="nil"/>
              <w:left w:val="nil"/>
              <w:bottom w:val="nil"/>
              <w:right w:val="nil"/>
            </w:tcBorders>
            <w:shd w:val="clear" w:color="auto" w:fill="auto"/>
            <w:noWrap/>
            <w:vAlign w:val="bottom"/>
            <w:hideMark/>
          </w:tcPr>
          <w:p w:rsidR="009E27B5" w:rsidRPr="00AB157C" w:rsidRDefault="009E27B5" w:rsidP="009E27B5">
            <w:pPr>
              <w:spacing w:after="0" w:line="240" w:lineRule="auto"/>
              <w:rPr>
                <w:rFonts w:ascii="Times New Roman" w:eastAsia="Times New Roman" w:hAnsi="Times New Roman" w:cs="Times New Roman"/>
                <w:sz w:val="20"/>
                <w:szCs w:val="20"/>
              </w:rPr>
            </w:pPr>
          </w:p>
        </w:tc>
      </w:tr>
    </w:tbl>
    <w:p w:rsidR="00AB157C" w:rsidRDefault="00AB157C" w:rsidP="00BF7FCF">
      <w:pPr>
        <w:ind w:left="1080"/>
      </w:pPr>
    </w:p>
    <w:p w:rsidR="00AB157C" w:rsidRDefault="00AB157C" w:rsidP="00BF7FCF">
      <w:pPr>
        <w:ind w:left="1080"/>
      </w:pPr>
    </w:p>
    <w:p w:rsidR="009E27B5" w:rsidRDefault="009E27B5" w:rsidP="00F71C7F">
      <w:pPr>
        <w:autoSpaceDE w:val="0"/>
        <w:autoSpaceDN w:val="0"/>
        <w:adjustRightInd w:val="0"/>
        <w:spacing w:after="0" w:line="240" w:lineRule="auto"/>
        <w:jc w:val="both"/>
        <w:rPr>
          <w:rFonts w:cstheme="minorHAnsi"/>
        </w:rPr>
      </w:pPr>
      <w:r w:rsidRPr="003F6DC0">
        <w:rPr>
          <w:rFonts w:cstheme="minorHAnsi"/>
          <w:b/>
        </w:rPr>
        <w:t>Comments:</w:t>
      </w:r>
      <w:r w:rsidR="00F71C7F" w:rsidRPr="00F71C7F">
        <w:rPr>
          <w:rFonts w:cstheme="minorHAnsi"/>
        </w:rPr>
        <w:t>The building was occupied by five tenants at the time of purchase, with a 1,500 square foot suite available on the third floor. The roof was replaced inMa</w:t>
      </w:r>
      <w:r w:rsidR="00F71C7F">
        <w:rPr>
          <w:rFonts w:cstheme="minorHAnsi"/>
        </w:rPr>
        <w:t>y of 2002. The building under</w:t>
      </w:r>
      <w:r w:rsidR="00F71C7F" w:rsidRPr="00F71C7F">
        <w:rPr>
          <w:rFonts w:cstheme="minorHAnsi"/>
        </w:rPr>
        <w:t>went considerable renovations in 2012. At the time of sale the HVAC and mechanical systems were inspected andreported to be in good and functioning order. These components were serv</w:t>
      </w:r>
      <w:r w:rsidR="00F71C7F">
        <w:rPr>
          <w:rFonts w:cstheme="minorHAnsi"/>
        </w:rPr>
        <w:t>ic</w:t>
      </w:r>
      <w:r w:rsidR="00F71C7F" w:rsidRPr="00F71C7F">
        <w:rPr>
          <w:rFonts w:cstheme="minorHAnsi"/>
        </w:rPr>
        <w:t>ed on a regular quarterly maintenance schedule.</w:t>
      </w:r>
    </w:p>
    <w:p w:rsidR="000647AD" w:rsidRDefault="000647AD">
      <w:pPr>
        <w:rPr>
          <w:rFonts w:cstheme="minorHAnsi"/>
        </w:rPr>
      </w:pPr>
      <w:r>
        <w:rPr>
          <w:rFonts w:cstheme="minorHAnsi"/>
        </w:rPr>
        <w:br w:type="page"/>
      </w:r>
    </w:p>
    <w:p w:rsidR="000647AD" w:rsidRDefault="000647AD" w:rsidP="00F71C7F">
      <w:pPr>
        <w:autoSpaceDE w:val="0"/>
        <w:autoSpaceDN w:val="0"/>
        <w:adjustRightInd w:val="0"/>
        <w:spacing w:after="0" w:line="240" w:lineRule="auto"/>
        <w:jc w:val="both"/>
        <w:rPr>
          <w:rFonts w:cstheme="minorHAnsi"/>
        </w:rPr>
      </w:pPr>
      <w:r>
        <w:rPr>
          <w:rFonts w:cstheme="minorHAnsi"/>
        </w:rPr>
        <w:lastRenderedPageBreak/>
        <w:t>Note: I highly recommend entering all the assumptions and inputs into a spreadsheet, and then create a separate worksheet tab for each valuation approach.  That way, you will only be entering the input data once.</w:t>
      </w:r>
    </w:p>
    <w:p w:rsidR="000647AD" w:rsidRDefault="000647AD" w:rsidP="00F71C7F">
      <w:pPr>
        <w:autoSpaceDE w:val="0"/>
        <w:autoSpaceDN w:val="0"/>
        <w:adjustRightInd w:val="0"/>
        <w:spacing w:after="0" w:line="240" w:lineRule="auto"/>
        <w:jc w:val="both"/>
        <w:rPr>
          <w:rFonts w:cstheme="minorHAnsi"/>
        </w:rPr>
      </w:pPr>
    </w:p>
    <w:p w:rsidR="000647AD" w:rsidRDefault="000647AD" w:rsidP="00971ECF">
      <w:pPr>
        <w:autoSpaceDE w:val="0"/>
        <w:autoSpaceDN w:val="0"/>
        <w:adjustRightInd w:val="0"/>
        <w:spacing w:after="0" w:line="240" w:lineRule="auto"/>
        <w:jc w:val="both"/>
        <w:rPr>
          <w:rFonts w:cstheme="minorHAnsi"/>
        </w:rPr>
      </w:pPr>
      <w:r w:rsidRPr="00971ECF">
        <w:rPr>
          <w:rFonts w:cstheme="minorHAnsi"/>
          <w:b/>
        </w:rPr>
        <w:t>Question 1:</w:t>
      </w:r>
      <w:r>
        <w:rPr>
          <w:rFonts w:cstheme="minorHAnsi"/>
        </w:rPr>
        <w:t xml:space="preserve">  Value the </w:t>
      </w:r>
      <w:r w:rsidR="00971ECF">
        <w:rPr>
          <w:rFonts w:cstheme="minorHAnsi"/>
        </w:rPr>
        <w:t>property</w:t>
      </w:r>
      <w:r>
        <w:rPr>
          <w:rFonts w:cstheme="minorHAnsi"/>
        </w:rPr>
        <w:t xml:space="preserve"> using the Cost Approach.  You will do this by computing each entry in the following construction budget</w:t>
      </w:r>
      <w:r w:rsidR="00015373">
        <w:rPr>
          <w:rFonts w:cstheme="minorHAnsi"/>
        </w:rPr>
        <w:t>’s</w:t>
      </w:r>
      <w:r>
        <w:rPr>
          <w:rFonts w:cstheme="minorHAnsi"/>
        </w:rPr>
        <w:t xml:space="preserve"> line items and summing them:</w:t>
      </w:r>
    </w:p>
    <w:p w:rsidR="00971ECF" w:rsidRDefault="00971ECF" w:rsidP="00971ECF">
      <w:pPr>
        <w:autoSpaceDE w:val="0"/>
        <w:autoSpaceDN w:val="0"/>
        <w:adjustRightInd w:val="0"/>
        <w:spacing w:after="0" w:line="240" w:lineRule="auto"/>
        <w:jc w:val="both"/>
        <w:rPr>
          <w:rFonts w:cstheme="minorHAnsi"/>
        </w:rPr>
      </w:pPr>
    </w:p>
    <w:tbl>
      <w:tblPr>
        <w:tblW w:w="6680" w:type="dxa"/>
        <w:tblLook w:val="04A0"/>
      </w:tblPr>
      <w:tblGrid>
        <w:gridCol w:w="3000"/>
        <w:gridCol w:w="2020"/>
        <w:gridCol w:w="1660"/>
      </w:tblGrid>
      <w:tr w:rsidR="00971ECF" w:rsidRPr="00971ECF" w:rsidTr="00971ECF">
        <w:trPr>
          <w:trHeight w:val="300"/>
        </w:trPr>
        <w:tc>
          <w:tcPr>
            <w:tcW w:w="3000" w:type="dxa"/>
            <w:tcBorders>
              <w:top w:val="single" w:sz="4" w:space="0" w:color="auto"/>
              <w:left w:val="single" w:sz="4" w:space="0" w:color="auto"/>
              <w:bottom w:val="single" w:sz="8" w:space="0" w:color="auto"/>
              <w:right w:val="nil"/>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b/>
                <w:bCs/>
                <w:color w:val="000000"/>
              </w:rPr>
            </w:pPr>
            <w:r w:rsidRPr="00971ECF">
              <w:rPr>
                <w:rFonts w:ascii="Calibri" w:eastAsia="Times New Roman" w:hAnsi="Calibri" w:cs="Calibri"/>
                <w:b/>
                <w:bCs/>
                <w:color w:val="000000"/>
              </w:rPr>
              <w:t>Item</w:t>
            </w:r>
          </w:p>
        </w:tc>
        <w:tc>
          <w:tcPr>
            <w:tcW w:w="2020" w:type="dxa"/>
            <w:tcBorders>
              <w:top w:val="single" w:sz="4" w:space="0" w:color="auto"/>
              <w:left w:val="nil"/>
              <w:bottom w:val="single" w:sz="8" w:space="0" w:color="auto"/>
              <w:right w:val="single" w:sz="4" w:space="0" w:color="auto"/>
            </w:tcBorders>
            <w:shd w:val="clear" w:color="auto" w:fill="auto"/>
            <w:noWrap/>
            <w:vAlign w:val="bottom"/>
            <w:hideMark/>
          </w:tcPr>
          <w:p w:rsidR="00971ECF" w:rsidRPr="00971ECF" w:rsidRDefault="00971ECF" w:rsidP="00971ECF">
            <w:pPr>
              <w:spacing w:after="0" w:line="240" w:lineRule="auto"/>
              <w:jc w:val="right"/>
              <w:rPr>
                <w:rFonts w:ascii="Calibri" w:eastAsia="Times New Roman" w:hAnsi="Calibri" w:cs="Calibri"/>
                <w:b/>
                <w:bCs/>
                <w:color w:val="000000"/>
              </w:rPr>
            </w:pPr>
            <w:r w:rsidRPr="00971ECF">
              <w:rPr>
                <w:rFonts w:ascii="Calibri" w:eastAsia="Times New Roman" w:hAnsi="Calibri" w:cs="Calibri"/>
                <w:b/>
                <w:bCs/>
                <w:color w:val="000000"/>
              </w:rPr>
              <w:t>National $Amount</w:t>
            </w:r>
          </w:p>
        </w:tc>
        <w:tc>
          <w:tcPr>
            <w:tcW w:w="1660" w:type="dxa"/>
            <w:tcBorders>
              <w:top w:val="single" w:sz="4" w:space="0" w:color="auto"/>
              <w:left w:val="nil"/>
              <w:bottom w:val="single" w:sz="8" w:space="0" w:color="auto"/>
              <w:right w:val="single" w:sz="4" w:space="0" w:color="auto"/>
            </w:tcBorders>
            <w:shd w:val="clear" w:color="auto" w:fill="auto"/>
            <w:noWrap/>
            <w:vAlign w:val="bottom"/>
            <w:hideMark/>
          </w:tcPr>
          <w:p w:rsidR="00971ECF" w:rsidRPr="00971ECF" w:rsidRDefault="00971ECF" w:rsidP="00971ECF">
            <w:pPr>
              <w:spacing w:after="0" w:line="240" w:lineRule="auto"/>
              <w:jc w:val="right"/>
              <w:rPr>
                <w:rFonts w:ascii="Calibri" w:eastAsia="Times New Roman" w:hAnsi="Calibri" w:cs="Calibri"/>
                <w:b/>
                <w:bCs/>
                <w:color w:val="000000"/>
              </w:rPr>
            </w:pPr>
            <w:r w:rsidRPr="00971ECF">
              <w:rPr>
                <w:rFonts w:ascii="Calibri" w:eastAsia="Times New Roman" w:hAnsi="Calibri" w:cs="Calibri"/>
                <w:b/>
                <w:bCs/>
                <w:color w:val="000000"/>
              </w:rPr>
              <w:t>Local $Amount</w:t>
            </w:r>
          </w:p>
        </w:tc>
      </w:tr>
      <w:tr w:rsidR="00971ECF" w:rsidRPr="00971ECF" w:rsidTr="00971ECF">
        <w:trPr>
          <w:trHeight w:val="292"/>
        </w:trPr>
        <w:tc>
          <w:tcPr>
            <w:tcW w:w="3000" w:type="dxa"/>
            <w:tcBorders>
              <w:top w:val="nil"/>
              <w:left w:val="single" w:sz="4" w:space="0" w:color="auto"/>
              <w:bottom w:val="nil"/>
              <w:right w:val="nil"/>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Site (Land) Acquisition Cost</w:t>
            </w:r>
          </w:p>
        </w:tc>
        <w:tc>
          <w:tcPr>
            <w:tcW w:w="2020" w:type="dxa"/>
            <w:tcBorders>
              <w:top w:val="nil"/>
              <w:left w:val="nil"/>
              <w:bottom w:val="nil"/>
              <w:right w:val="single" w:sz="4" w:space="0" w:color="auto"/>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 </w:t>
            </w:r>
          </w:p>
        </w:tc>
        <w:tc>
          <w:tcPr>
            <w:tcW w:w="1660" w:type="dxa"/>
            <w:tcBorders>
              <w:top w:val="nil"/>
              <w:left w:val="nil"/>
              <w:bottom w:val="nil"/>
              <w:right w:val="single" w:sz="4" w:space="0" w:color="auto"/>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 </w:t>
            </w:r>
          </w:p>
        </w:tc>
      </w:tr>
      <w:tr w:rsidR="00971ECF" w:rsidRPr="00971ECF" w:rsidTr="00971ECF">
        <w:trPr>
          <w:trHeight w:val="292"/>
        </w:trPr>
        <w:tc>
          <w:tcPr>
            <w:tcW w:w="3000" w:type="dxa"/>
            <w:tcBorders>
              <w:top w:val="nil"/>
              <w:left w:val="single" w:sz="4" w:space="0" w:color="auto"/>
              <w:bottom w:val="nil"/>
              <w:right w:val="nil"/>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Landscaping Costs</w:t>
            </w:r>
          </w:p>
        </w:tc>
        <w:tc>
          <w:tcPr>
            <w:tcW w:w="2020" w:type="dxa"/>
            <w:tcBorders>
              <w:top w:val="nil"/>
              <w:left w:val="nil"/>
              <w:bottom w:val="nil"/>
              <w:right w:val="single" w:sz="4" w:space="0" w:color="auto"/>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 </w:t>
            </w:r>
          </w:p>
        </w:tc>
        <w:tc>
          <w:tcPr>
            <w:tcW w:w="1660" w:type="dxa"/>
            <w:tcBorders>
              <w:top w:val="nil"/>
              <w:left w:val="nil"/>
              <w:bottom w:val="nil"/>
              <w:right w:val="single" w:sz="4" w:space="0" w:color="auto"/>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 </w:t>
            </w:r>
          </w:p>
        </w:tc>
      </w:tr>
      <w:tr w:rsidR="00971ECF" w:rsidRPr="00971ECF" w:rsidTr="00971ECF">
        <w:trPr>
          <w:trHeight w:val="292"/>
        </w:trPr>
        <w:tc>
          <w:tcPr>
            <w:tcW w:w="3000" w:type="dxa"/>
            <w:tcBorders>
              <w:top w:val="nil"/>
              <w:left w:val="single" w:sz="4" w:space="0" w:color="auto"/>
              <w:bottom w:val="nil"/>
              <w:right w:val="nil"/>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Cost of Parking Space Const.</w:t>
            </w:r>
          </w:p>
        </w:tc>
        <w:tc>
          <w:tcPr>
            <w:tcW w:w="2020" w:type="dxa"/>
            <w:tcBorders>
              <w:top w:val="nil"/>
              <w:left w:val="nil"/>
              <w:bottom w:val="nil"/>
              <w:right w:val="single" w:sz="4" w:space="0" w:color="auto"/>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 </w:t>
            </w:r>
          </w:p>
        </w:tc>
        <w:tc>
          <w:tcPr>
            <w:tcW w:w="1660" w:type="dxa"/>
            <w:tcBorders>
              <w:top w:val="nil"/>
              <w:left w:val="nil"/>
              <w:bottom w:val="nil"/>
              <w:right w:val="single" w:sz="4" w:space="0" w:color="auto"/>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 </w:t>
            </w:r>
          </w:p>
        </w:tc>
      </w:tr>
      <w:tr w:rsidR="00971ECF" w:rsidRPr="00971ECF" w:rsidTr="00971ECF">
        <w:trPr>
          <w:trHeight w:val="292"/>
        </w:trPr>
        <w:tc>
          <w:tcPr>
            <w:tcW w:w="3000" w:type="dxa"/>
            <w:tcBorders>
              <w:top w:val="nil"/>
              <w:left w:val="single" w:sz="4" w:space="0" w:color="auto"/>
              <w:bottom w:val="nil"/>
              <w:right w:val="nil"/>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Total Hard Costs</w:t>
            </w:r>
          </w:p>
        </w:tc>
        <w:tc>
          <w:tcPr>
            <w:tcW w:w="2020" w:type="dxa"/>
            <w:tcBorders>
              <w:top w:val="nil"/>
              <w:left w:val="nil"/>
              <w:bottom w:val="nil"/>
              <w:right w:val="single" w:sz="4" w:space="0" w:color="auto"/>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 </w:t>
            </w:r>
          </w:p>
        </w:tc>
        <w:tc>
          <w:tcPr>
            <w:tcW w:w="1660" w:type="dxa"/>
            <w:tcBorders>
              <w:top w:val="nil"/>
              <w:left w:val="nil"/>
              <w:bottom w:val="nil"/>
              <w:right w:val="single" w:sz="4" w:space="0" w:color="auto"/>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 </w:t>
            </w:r>
          </w:p>
        </w:tc>
      </w:tr>
      <w:tr w:rsidR="00971ECF" w:rsidRPr="00971ECF" w:rsidTr="00971ECF">
        <w:trPr>
          <w:trHeight w:val="300"/>
        </w:trPr>
        <w:tc>
          <w:tcPr>
            <w:tcW w:w="3000" w:type="dxa"/>
            <w:tcBorders>
              <w:top w:val="nil"/>
              <w:left w:val="single" w:sz="4" w:space="0" w:color="auto"/>
              <w:bottom w:val="single" w:sz="8" w:space="0" w:color="auto"/>
              <w:right w:val="nil"/>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Total Soft Costs</w:t>
            </w:r>
          </w:p>
        </w:tc>
        <w:tc>
          <w:tcPr>
            <w:tcW w:w="2020" w:type="dxa"/>
            <w:tcBorders>
              <w:top w:val="nil"/>
              <w:left w:val="nil"/>
              <w:bottom w:val="single" w:sz="8" w:space="0" w:color="auto"/>
              <w:right w:val="single" w:sz="4" w:space="0" w:color="auto"/>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 </w:t>
            </w:r>
          </w:p>
        </w:tc>
        <w:tc>
          <w:tcPr>
            <w:tcW w:w="1660" w:type="dxa"/>
            <w:tcBorders>
              <w:top w:val="nil"/>
              <w:left w:val="nil"/>
              <w:bottom w:val="single" w:sz="8" w:space="0" w:color="auto"/>
              <w:right w:val="single" w:sz="4" w:space="0" w:color="auto"/>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 </w:t>
            </w:r>
          </w:p>
        </w:tc>
      </w:tr>
      <w:tr w:rsidR="00971ECF" w:rsidRPr="00971ECF" w:rsidTr="00971ECF">
        <w:trPr>
          <w:trHeight w:val="292"/>
        </w:trPr>
        <w:tc>
          <w:tcPr>
            <w:tcW w:w="3000" w:type="dxa"/>
            <w:tcBorders>
              <w:top w:val="nil"/>
              <w:left w:val="single" w:sz="4" w:space="0" w:color="auto"/>
              <w:bottom w:val="single" w:sz="4" w:space="0" w:color="auto"/>
              <w:right w:val="nil"/>
            </w:tcBorders>
            <w:shd w:val="clear" w:color="auto" w:fill="auto"/>
            <w:noWrap/>
            <w:vAlign w:val="bottom"/>
            <w:hideMark/>
          </w:tcPr>
          <w:p w:rsidR="00971ECF" w:rsidRPr="00015373" w:rsidRDefault="00971ECF" w:rsidP="00971ECF">
            <w:pPr>
              <w:spacing w:after="0" w:line="240" w:lineRule="auto"/>
              <w:rPr>
                <w:rFonts w:ascii="Calibri" w:eastAsia="Times New Roman" w:hAnsi="Calibri" w:cs="Calibri"/>
                <w:b/>
                <w:color w:val="000000"/>
              </w:rPr>
            </w:pPr>
            <w:r w:rsidRPr="00015373">
              <w:rPr>
                <w:rFonts w:ascii="Calibri" w:eastAsia="Times New Roman" w:hAnsi="Calibri" w:cs="Calibri"/>
                <w:b/>
                <w:color w:val="000000"/>
              </w:rPr>
              <w:t>Total Construction Costs</w:t>
            </w:r>
          </w:p>
        </w:tc>
        <w:tc>
          <w:tcPr>
            <w:tcW w:w="2020" w:type="dxa"/>
            <w:tcBorders>
              <w:top w:val="nil"/>
              <w:left w:val="nil"/>
              <w:bottom w:val="single" w:sz="4" w:space="0" w:color="auto"/>
              <w:right w:val="single" w:sz="4" w:space="0" w:color="auto"/>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971ECF" w:rsidRPr="00971ECF" w:rsidRDefault="00971ECF" w:rsidP="00971ECF">
            <w:pPr>
              <w:spacing w:after="0" w:line="240" w:lineRule="auto"/>
              <w:rPr>
                <w:rFonts w:ascii="Calibri" w:eastAsia="Times New Roman" w:hAnsi="Calibri" w:cs="Calibri"/>
                <w:color w:val="000000"/>
              </w:rPr>
            </w:pPr>
            <w:r w:rsidRPr="00971ECF">
              <w:rPr>
                <w:rFonts w:ascii="Calibri" w:eastAsia="Times New Roman" w:hAnsi="Calibri" w:cs="Calibri"/>
                <w:color w:val="000000"/>
              </w:rPr>
              <w:t> </w:t>
            </w:r>
          </w:p>
        </w:tc>
      </w:tr>
    </w:tbl>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r>
        <w:rPr>
          <w:rFonts w:cstheme="minorHAnsi"/>
          <w:b/>
        </w:rPr>
        <w:t>Question 2</w:t>
      </w:r>
      <w:r w:rsidRPr="00971ECF">
        <w:rPr>
          <w:rFonts w:cstheme="minorHAnsi"/>
          <w:b/>
        </w:rPr>
        <w:t>:</w:t>
      </w:r>
      <w:r>
        <w:rPr>
          <w:rFonts w:cstheme="minorHAnsi"/>
        </w:rPr>
        <w:t xml:space="preserve">  What is the total value of land as a percent of the total project’s value (i.e. total cost of construction)?</w:t>
      </w: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r w:rsidRPr="00971ECF">
        <w:rPr>
          <w:rFonts w:cstheme="minorHAnsi"/>
          <w:b/>
        </w:rPr>
        <w:t xml:space="preserve">Question </w:t>
      </w:r>
      <w:r>
        <w:rPr>
          <w:rFonts w:cstheme="minorHAnsi"/>
          <w:b/>
        </w:rPr>
        <w:t>3</w:t>
      </w:r>
      <w:r w:rsidRPr="00971ECF">
        <w:rPr>
          <w:rFonts w:cstheme="minorHAnsi"/>
          <w:b/>
        </w:rPr>
        <w:t>:</w:t>
      </w:r>
      <w:r>
        <w:rPr>
          <w:rFonts w:cstheme="minorHAnsi"/>
        </w:rPr>
        <w:t xml:space="preserve">  Our guests from MAI said that land is typically 20-30% of value in a balanced market.  Is the % allocation of value to land under the cost approach significantly different from this?  If so, what does this tell you?</w:t>
      </w: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p>
    <w:p w:rsidR="00971ECF" w:rsidRPr="00971ECF" w:rsidRDefault="00971ECF" w:rsidP="00971ECF">
      <w:pPr>
        <w:autoSpaceDE w:val="0"/>
        <w:autoSpaceDN w:val="0"/>
        <w:adjustRightInd w:val="0"/>
        <w:spacing w:after="0" w:line="240" w:lineRule="auto"/>
        <w:jc w:val="both"/>
        <w:rPr>
          <w:rFonts w:cstheme="minorHAnsi"/>
        </w:rPr>
      </w:pPr>
    </w:p>
    <w:p w:rsidR="00971ECF" w:rsidRPr="00971ECF" w:rsidRDefault="00971ECF" w:rsidP="00971ECF">
      <w:pPr>
        <w:autoSpaceDE w:val="0"/>
        <w:autoSpaceDN w:val="0"/>
        <w:adjustRightInd w:val="0"/>
        <w:spacing w:after="0" w:line="240" w:lineRule="auto"/>
        <w:jc w:val="both"/>
        <w:rPr>
          <w:rFonts w:cstheme="minorHAnsi"/>
        </w:rPr>
      </w:pPr>
    </w:p>
    <w:p w:rsidR="00971ECF" w:rsidRPr="00971ECF" w:rsidRDefault="00971ECF" w:rsidP="00971ECF">
      <w:pPr>
        <w:autoSpaceDE w:val="0"/>
        <w:autoSpaceDN w:val="0"/>
        <w:adjustRightInd w:val="0"/>
        <w:spacing w:after="0" w:line="240" w:lineRule="auto"/>
        <w:jc w:val="both"/>
        <w:rPr>
          <w:rFonts w:cstheme="minorHAnsi"/>
        </w:rPr>
      </w:pPr>
    </w:p>
    <w:p w:rsidR="00971ECF" w:rsidRPr="00971ECF" w:rsidRDefault="00971ECF" w:rsidP="00971ECF">
      <w:pPr>
        <w:autoSpaceDE w:val="0"/>
        <w:autoSpaceDN w:val="0"/>
        <w:adjustRightInd w:val="0"/>
        <w:spacing w:after="0" w:line="240" w:lineRule="auto"/>
        <w:jc w:val="both"/>
        <w:rPr>
          <w:rFonts w:cstheme="minorHAnsi"/>
        </w:rPr>
      </w:pPr>
    </w:p>
    <w:p w:rsidR="00971ECF" w:rsidRPr="00971ECF" w:rsidRDefault="00971ECF" w:rsidP="00971ECF">
      <w:pPr>
        <w:autoSpaceDE w:val="0"/>
        <w:autoSpaceDN w:val="0"/>
        <w:adjustRightInd w:val="0"/>
        <w:spacing w:after="0" w:line="240" w:lineRule="auto"/>
        <w:jc w:val="both"/>
        <w:rPr>
          <w:rFonts w:cstheme="minorHAnsi"/>
        </w:rPr>
      </w:pPr>
    </w:p>
    <w:p w:rsidR="00971ECF" w:rsidRPr="00971ECF" w:rsidRDefault="00971ECF" w:rsidP="00971ECF">
      <w:pPr>
        <w:autoSpaceDE w:val="0"/>
        <w:autoSpaceDN w:val="0"/>
        <w:adjustRightInd w:val="0"/>
        <w:spacing w:after="0" w:line="240" w:lineRule="auto"/>
        <w:jc w:val="both"/>
        <w:rPr>
          <w:rFonts w:cstheme="minorHAnsi"/>
        </w:rPr>
      </w:pPr>
    </w:p>
    <w:p w:rsidR="00971ECF" w:rsidRPr="00971ECF" w:rsidRDefault="00971ECF" w:rsidP="00971ECF">
      <w:pPr>
        <w:autoSpaceDE w:val="0"/>
        <w:autoSpaceDN w:val="0"/>
        <w:adjustRightInd w:val="0"/>
        <w:spacing w:after="0" w:line="240" w:lineRule="auto"/>
        <w:jc w:val="both"/>
        <w:rPr>
          <w:rFonts w:cstheme="minorHAnsi"/>
        </w:rPr>
      </w:pPr>
    </w:p>
    <w:p w:rsidR="00971ECF" w:rsidRPr="00971ECF" w:rsidRDefault="00971ECF" w:rsidP="00971ECF">
      <w:pPr>
        <w:autoSpaceDE w:val="0"/>
        <w:autoSpaceDN w:val="0"/>
        <w:adjustRightInd w:val="0"/>
        <w:spacing w:after="0" w:line="240" w:lineRule="auto"/>
        <w:jc w:val="both"/>
        <w:rPr>
          <w:rFonts w:cstheme="minorHAnsi"/>
        </w:rPr>
      </w:pPr>
    </w:p>
    <w:p w:rsidR="00971ECF" w:rsidRPr="00971ECF" w:rsidRDefault="00971ECF" w:rsidP="00971ECF">
      <w:pPr>
        <w:autoSpaceDE w:val="0"/>
        <w:autoSpaceDN w:val="0"/>
        <w:adjustRightInd w:val="0"/>
        <w:spacing w:after="0" w:line="240" w:lineRule="auto"/>
        <w:jc w:val="both"/>
        <w:rPr>
          <w:rFonts w:cstheme="minorHAnsi"/>
        </w:rPr>
      </w:pPr>
    </w:p>
    <w:p w:rsidR="00971ECF" w:rsidRDefault="00971ECF" w:rsidP="00971ECF">
      <w:pPr>
        <w:autoSpaceDE w:val="0"/>
        <w:autoSpaceDN w:val="0"/>
        <w:adjustRightInd w:val="0"/>
        <w:spacing w:after="0" w:line="240" w:lineRule="auto"/>
        <w:jc w:val="both"/>
        <w:rPr>
          <w:rFonts w:cstheme="minorHAnsi"/>
        </w:rPr>
      </w:pPr>
      <w:r w:rsidRPr="00971ECF">
        <w:rPr>
          <w:rFonts w:cstheme="minorHAnsi"/>
          <w:b/>
        </w:rPr>
        <w:t>Question 4:</w:t>
      </w:r>
      <w:r w:rsidRPr="00971ECF">
        <w:rPr>
          <w:rFonts w:cstheme="minorHAnsi"/>
        </w:rPr>
        <w:t xml:space="preserve">  Value the property using the Comps Approach</w:t>
      </w:r>
      <w:r>
        <w:rPr>
          <w:rFonts w:cstheme="minorHAnsi"/>
        </w:rPr>
        <w:t xml:space="preserve">  You will do this by taking a weighted average of the value of the four comparables, where the weights reflect how similar (i.e. “comparable”) they are to the subject property.  For value, you can use their sale price or sale price/sqft.  You are also </w:t>
      </w:r>
      <w:r>
        <w:rPr>
          <w:rFonts w:cstheme="minorHAnsi"/>
        </w:rPr>
        <w:lastRenderedPageBreak/>
        <w:t xml:space="preserve">free to only </w:t>
      </w:r>
      <w:r w:rsidR="00015373">
        <w:rPr>
          <w:rFonts w:cstheme="minorHAnsi"/>
        </w:rPr>
        <w:t xml:space="preserve">use </w:t>
      </w:r>
      <w:r>
        <w:rPr>
          <w:rFonts w:cstheme="minorHAnsi"/>
        </w:rPr>
        <w:t>subset of the four comparable</w:t>
      </w:r>
      <w:r w:rsidR="00015373">
        <w:rPr>
          <w:rFonts w:cstheme="minorHAnsi"/>
        </w:rPr>
        <w:t>s</w:t>
      </w:r>
      <w:r>
        <w:rPr>
          <w:rFonts w:cstheme="minorHAnsi"/>
        </w:rPr>
        <w:t xml:space="preserve"> if you believe that one or two of them are not good </w:t>
      </w:r>
      <w:r w:rsidR="00015373">
        <w:rPr>
          <w:rFonts w:cstheme="minorHAnsi"/>
        </w:rPr>
        <w:t>on</w:t>
      </w:r>
      <w:r>
        <w:rPr>
          <w:rFonts w:cstheme="minorHAnsi"/>
        </w:rPr>
        <w:t>es.  Present and show your work.  Be aware that the comps approach is more art than science: there is no one “correct” answer.  Rather, you will be graded on this component by how well you show your work and how well you argue your reasoning for the final number you arrive at.</w:t>
      </w:r>
    </w:p>
    <w:p w:rsidR="00A10B15" w:rsidRDefault="00A10B15">
      <w:pPr>
        <w:rPr>
          <w:rFonts w:cstheme="minorHAnsi"/>
        </w:rPr>
      </w:pPr>
      <w:r>
        <w:rPr>
          <w:rFonts w:cstheme="minorHAnsi"/>
        </w:rPr>
        <w:br w:type="page"/>
      </w:r>
    </w:p>
    <w:p w:rsidR="00971ECF" w:rsidRDefault="00A10B15" w:rsidP="00971ECF">
      <w:pPr>
        <w:autoSpaceDE w:val="0"/>
        <w:autoSpaceDN w:val="0"/>
        <w:adjustRightInd w:val="0"/>
        <w:spacing w:after="0" w:line="240" w:lineRule="auto"/>
        <w:jc w:val="both"/>
        <w:rPr>
          <w:rFonts w:cstheme="minorHAnsi"/>
        </w:rPr>
      </w:pPr>
      <w:r w:rsidRPr="00971ECF">
        <w:rPr>
          <w:rFonts w:cstheme="minorHAnsi"/>
          <w:b/>
        </w:rPr>
        <w:lastRenderedPageBreak/>
        <w:t xml:space="preserve">Question </w:t>
      </w:r>
      <w:r>
        <w:rPr>
          <w:rFonts w:cstheme="minorHAnsi"/>
          <w:b/>
        </w:rPr>
        <w:t>5</w:t>
      </w:r>
      <w:r w:rsidRPr="00971ECF">
        <w:rPr>
          <w:rFonts w:cstheme="minorHAnsi"/>
          <w:b/>
        </w:rPr>
        <w:t>:</w:t>
      </w:r>
      <w:r>
        <w:rPr>
          <w:rFonts w:cstheme="minorHAnsi"/>
        </w:rPr>
        <w:t xml:space="preserve">Which </w:t>
      </w:r>
      <w:r w:rsidR="00015373">
        <w:rPr>
          <w:rFonts w:cstheme="minorHAnsi"/>
        </w:rPr>
        <w:t xml:space="preserve">particular </w:t>
      </w:r>
      <w:r>
        <w:rPr>
          <w:rFonts w:cstheme="minorHAnsi"/>
        </w:rPr>
        <w:t>comp did you think was the most comparable and why?</w:t>
      </w:r>
    </w:p>
    <w:p w:rsidR="00A10B15" w:rsidRDefault="00A10B15" w:rsidP="00971ECF">
      <w:pPr>
        <w:autoSpaceDE w:val="0"/>
        <w:autoSpaceDN w:val="0"/>
        <w:adjustRightInd w:val="0"/>
        <w:spacing w:after="0" w:line="240" w:lineRule="auto"/>
        <w:jc w:val="both"/>
        <w:rPr>
          <w:rFonts w:cstheme="minorHAnsi"/>
        </w:rPr>
      </w:pPr>
    </w:p>
    <w:p w:rsidR="00A10B15" w:rsidRDefault="00A10B15" w:rsidP="00971ECF">
      <w:pPr>
        <w:autoSpaceDE w:val="0"/>
        <w:autoSpaceDN w:val="0"/>
        <w:adjustRightInd w:val="0"/>
        <w:spacing w:after="0" w:line="240" w:lineRule="auto"/>
        <w:jc w:val="both"/>
        <w:rPr>
          <w:rFonts w:cstheme="minorHAnsi"/>
        </w:rPr>
      </w:pPr>
    </w:p>
    <w:p w:rsidR="00A10B15" w:rsidRDefault="00A10B15" w:rsidP="00971ECF">
      <w:pPr>
        <w:autoSpaceDE w:val="0"/>
        <w:autoSpaceDN w:val="0"/>
        <w:adjustRightInd w:val="0"/>
        <w:spacing w:after="0" w:line="240" w:lineRule="auto"/>
        <w:jc w:val="both"/>
        <w:rPr>
          <w:rFonts w:cstheme="minorHAnsi"/>
        </w:rPr>
      </w:pPr>
    </w:p>
    <w:p w:rsidR="00A10B15" w:rsidRDefault="00A10B15" w:rsidP="00971ECF">
      <w:pPr>
        <w:autoSpaceDE w:val="0"/>
        <w:autoSpaceDN w:val="0"/>
        <w:adjustRightInd w:val="0"/>
        <w:spacing w:after="0" w:line="240" w:lineRule="auto"/>
        <w:jc w:val="both"/>
        <w:rPr>
          <w:rFonts w:cstheme="minorHAnsi"/>
        </w:rPr>
      </w:pPr>
    </w:p>
    <w:p w:rsidR="00A10B15" w:rsidRDefault="00A10B15" w:rsidP="00971ECF">
      <w:pPr>
        <w:autoSpaceDE w:val="0"/>
        <w:autoSpaceDN w:val="0"/>
        <w:adjustRightInd w:val="0"/>
        <w:spacing w:after="0" w:line="240" w:lineRule="auto"/>
        <w:jc w:val="both"/>
        <w:rPr>
          <w:rFonts w:cstheme="minorHAnsi"/>
        </w:rPr>
      </w:pPr>
    </w:p>
    <w:p w:rsidR="00A10B15" w:rsidRDefault="00A10B15" w:rsidP="00971ECF">
      <w:pPr>
        <w:autoSpaceDE w:val="0"/>
        <w:autoSpaceDN w:val="0"/>
        <w:adjustRightInd w:val="0"/>
        <w:spacing w:after="0" w:line="240" w:lineRule="auto"/>
        <w:jc w:val="both"/>
        <w:rPr>
          <w:rFonts w:cstheme="minorHAnsi"/>
        </w:rPr>
      </w:pPr>
    </w:p>
    <w:p w:rsidR="00A10B15" w:rsidRDefault="00A10B15" w:rsidP="00971ECF">
      <w:pPr>
        <w:autoSpaceDE w:val="0"/>
        <w:autoSpaceDN w:val="0"/>
        <w:adjustRightInd w:val="0"/>
        <w:spacing w:after="0" w:line="240" w:lineRule="auto"/>
        <w:jc w:val="both"/>
        <w:rPr>
          <w:rFonts w:cstheme="minorHAnsi"/>
        </w:rPr>
      </w:pPr>
    </w:p>
    <w:p w:rsidR="00A10B15" w:rsidRDefault="00A10B15" w:rsidP="00971ECF">
      <w:pPr>
        <w:autoSpaceDE w:val="0"/>
        <w:autoSpaceDN w:val="0"/>
        <w:adjustRightInd w:val="0"/>
        <w:spacing w:after="0" w:line="240" w:lineRule="auto"/>
        <w:jc w:val="both"/>
        <w:rPr>
          <w:rFonts w:cstheme="minorHAnsi"/>
        </w:rPr>
      </w:pPr>
    </w:p>
    <w:p w:rsidR="00A10B15" w:rsidRDefault="00A10B15" w:rsidP="00971ECF">
      <w:pPr>
        <w:autoSpaceDE w:val="0"/>
        <w:autoSpaceDN w:val="0"/>
        <w:adjustRightInd w:val="0"/>
        <w:spacing w:after="0" w:line="240" w:lineRule="auto"/>
        <w:jc w:val="both"/>
        <w:rPr>
          <w:rFonts w:cstheme="minorHAnsi"/>
        </w:rPr>
      </w:pPr>
    </w:p>
    <w:p w:rsidR="00A10B15" w:rsidRDefault="00A10B15" w:rsidP="00971ECF">
      <w:pPr>
        <w:autoSpaceDE w:val="0"/>
        <w:autoSpaceDN w:val="0"/>
        <w:adjustRightInd w:val="0"/>
        <w:spacing w:after="0" w:line="240" w:lineRule="auto"/>
        <w:jc w:val="both"/>
        <w:rPr>
          <w:rFonts w:cstheme="minorHAnsi"/>
        </w:rPr>
      </w:pPr>
    </w:p>
    <w:p w:rsidR="00A10B15" w:rsidRDefault="00A10B15" w:rsidP="00971ECF">
      <w:pPr>
        <w:autoSpaceDE w:val="0"/>
        <w:autoSpaceDN w:val="0"/>
        <w:adjustRightInd w:val="0"/>
        <w:spacing w:after="0" w:line="240" w:lineRule="auto"/>
        <w:jc w:val="both"/>
        <w:rPr>
          <w:rFonts w:cstheme="minorHAnsi"/>
        </w:rPr>
      </w:pPr>
    </w:p>
    <w:p w:rsidR="00A10B15" w:rsidRDefault="00A10B15" w:rsidP="00971ECF">
      <w:pPr>
        <w:autoSpaceDE w:val="0"/>
        <w:autoSpaceDN w:val="0"/>
        <w:adjustRightInd w:val="0"/>
        <w:spacing w:after="0" w:line="240" w:lineRule="auto"/>
        <w:jc w:val="both"/>
        <w:rPr>
          <w:rFonts w:cstheme="minorHAnsi"/>
        </w:rPr>
      </w:pPr>
    </w:p>
    <w:p w:rsidR="00A10B15" w:rsidRDefault="00A10B15" w:rsidP="00A10B15">
      <w:pPr>
        <w:autoSpaceDE w:val="0"/>
        <w:autoSpaceDN w:val="0"/>
        <w:adjustRightInd w:val="0"/>
        <w:spacing w:after="0" w:line="240" w:lineRule="auto"/>
        <w:jc w:val="both"/>
        <w:rPr>
          <w:rFonts w:cstheme="minorHAnsi"/>
        </w:rPr>
      </w:pPr>
      <w:r w:rsidRPr="00971ECF">
        <w:rPr>
          <w:rFonts w:cstheme="minorHAnsi"/>
          <w:b/>
        </w:rPr>
        <w:t xml:space="preserve">Question </w:t>
      </w:r>
      <w:r>
        <w:rPr>
          <w:rFonts w:cstheme="minorHAnsi"/>
          <w:b/>
        </w:rPr>
        <w:t>6</w:t>
      </w:r>
      <w:r w:rsidRPr="00971ECF">
        <w:rPr>
          <w:rFonts w:cstheme="minorHAnsi"/>
          <w:b/>
        </w:rPr>
        <w:t>:</w:t>
      </w:r>
      <w:r>
        <w:rPr>
          <w:rFonts w:cstheme="minorHAnsi"/>
        </w:rPr>
        <w:t xml:space="preserve">Which </w:t>
      </w:r>
      <w:r w:rsidR="00015373">
        <w:rPr>
          <w:rFonts w:cstheme="minorHAnsi"/>
        </w:rPr>
        <w:t xml:space="preserve">particular </w:t>
      </w:r>
      <w:r>
        <w:rPr>
          <w:rFonts w:cstheme="minorHAnsi"/>
        </w:rPr>
        <w:t>comp did you think was the least comparable and why?</w:t>
      </w:r>
    </w:p>
    <w:p w:rsidR="00A10B15" w:rsidRDefault="00A10B15" w:rsidP="00A10B15">
      <w:pPr>
        <w:autoSpaceDE w:val="0"/>
        <w:autoSpaceDN w:val="0"/>
        <w:adjustRightInd w:val="0"/>
        <w:spacing w:after="0" w:line="240" w:lineRule="auto"/>
        <w:jc w:val="both"/>
        <w:rPr>
          <w:rFonts w:cstheme="minorHAnsi"/>
        </w:rPr>
      </w:pPr>
    </w:p>
    <w:p w:rsidR="00A10B15" w:rsidRDefault="00A10B15" w:rsidP="00A10B15">
      <w:pPr>
        <w:autoSpaceDE w:val="0"/>
        <w:autoSpaceDN w:val="0"/>
        <w:adjustRightInd w:val="0"/>
        <w:spacing w:after="0" w:line="240" w:lineRule="auto"/>
        <w:jc w:val="both"/>
        <w:rPr>
          <w:rFonts w:cstheme="minorHAnsi"/>
        </w:rPr>
      </w:pPr>
    </w:p>
    <w:p w:rsidR="00A10B15" w:rsidRDefault="00A10B15" w:rsidP="00A10B15">
      <w:pPr>
        <w:autoSpaceDE w:val="0"/>
        <w:autoSpaceDN w:val="0"/>
        <w:adjustRightInd w:val="0"/>
        <w:spacing w:after="0" w:line="240" w:lineRule="auto"/>
        <w:jc w:val="both"/>
        <w:rPr>
          <w:rFonts w:cstheme="minorHAnsi"/>
        </w:rPr>
      </w:pPr>
    </w:p>
    <w:p w:rsidR="00A10B15" w:rsidRDefault="00A10B15" w:rsidP="00A10B15">
      <w:pPr>
        <w:autoSpaceDE w:val="0"/>
        <w:autoSpaceDN w:val="0"/>
        <w:adjustRightInd w:val="0"/>
        <w:spacing w:after="0" w:line="240" w:lineRule="auto"/>
        <w:jc w:val="both"/>
        <w:rPr>
          <w:rFonts w:cstheme="minorHAnsi"/>
        </w:rPr>
      </w:pPr>
    </w:p>
    <w:p w:rsidR="00A10B15" w:rsidRDefault="00A10B15" w:rsidP="00A10B15">
      <w:pPr>
        <w:autoSpaceDE w:val="0"/>
        <w:autoSpaceDN w:val="0"/>
        <w:adjustRightInd w:val="0"/>
        <w:spacing w:after="0" w:line="240" w:lineRule="auto"/>
        <w:jc w:val="both"/>
        <w:rPr>
          <w:rFonts w:cstheme="minorHAnsi"/>
        </w:rPr>
      </w:pPr>
    </w:p>
    <w:p w:rsidR="00A10B15" w:rsidRDefault="00A10B15" w:rsidP="00A10B15">
      <w:pPr>
        <w:autoSpaceDE w:val="0"/>
        <w:autoSpaceDN w:val="0"/>
        <w:adjustRightInd w:val="0"/>
        <w:spacing w:after="0" w:line="240" w:lineRule="auto"/>
        <w:jc w:val="both"/>
        <w:rPr>
          <w:rFonts w:cstheme="minorHAnsi"/>
        </w:rPr>
      </w:pPr>
    </w:p>
    <w:p w:rsidR="00A10B15" w:rsidRDefault="00A10B15" w:rsidP="00A10B15">
      <w:pPr>
        <w:autoSpaceDE w:val="0"/>
        <w:autoSpaceDN w:val="0"/>
        <w:adjustRightInd w:val="0"/>
        <w:spacing w:after="0" w:line="240" w:lineRule="auto"/>
        <w:jc w:val="both"/>
        <w:rPr>
          <w:rFonts w:cstheme="minorHAnsi"/>
        </w:rPr>
      </w:pPr>
    </w:p>
    <w:p w:rsidR="00A10B15" w:rsidRDefault="00A10B15" w:rsidP="00A10B15">
      <w:pPr>
        <w:autoSpaceDE w:val="0"/>
        <w:autoSpaceDN w:val="0"/>
        <w:adjustRightInd w:val="0"/>
        <w:spacing w:after="0" w:line="240" w:lineRule="auto"/>
        <w:jc w:val="both"/>
        <w:rPr>
          <w:rFonts w:cstheme="minorHAnsi"/>
        </w:rPr>
      </w:pPr>
    </w:p>
    <w:p w:rsidR="00A10B15" w:rsidRDefault="00A10B15" w:rsidP="00A10B15">
      <w:pPr>
        <w:autoSpaceDE w:val="0"/>
        <w:autoSpaceDN w:val="0"/>
        <w:adjustRightInd w:val="0"/>
        <w:spacing w:after="0" w:line="240" w:lineRule="auto"/>
        <w:jc w:val="both"/>
        <w:rPr>
          <w:rFonts w:cstheme="minorHAnsi"/>
        </w:rPr>
      </w:pPr>
    </w:p>
    <w:p w:rsidR="00A10B15" w:rsidRDefault="00A10B15" w:rsidP="00A10B15">
      <w:pPr>
        <w:autoSpaceDE w:val="0"/>
        <w:autoSpaceDN w:val="0"/>
        <w:adjustRightInd w:val="0"/>
        <w:spacing w:after="0" w:line="240" w:lineRule="auto"/>
        <w:jc w:val="both"/>
        <w:rPr>
          <w:rFonts w:cstheme="minorHAnsi"/>
        </w:rPr>
      </w:pPr>
      <w:r w:rsidRPr="00971ECF">
        <w:rPr>
          <w:rFonts w:cstheme="minorHAnsi"/>
          <w:b/>
        </w:rPr>
        <w:t xml:space="preserve">Question </w:t>
      </w:r>
      <w:r>
        <w:rPr>
          <w:rFonts w:cstheme="minorHAnsi"/>
          <w:b/>
        </w:rPr>
        <w:t>5</w:t>
      </w:r>
      <w:r w:rsidRPr="00971ECF">
        <w:rPr>
          <w:rFonts w:cstheme="minorHAnsi"/>
          <w:b/>
        </w:rPr>
        <w:t>:</w:t>
      </w:r>
      <w:r>
        <w:rPr>
          <w:rFonts w:cstheme="minorHAnsi"/>
        </w:rPr>
        <w:t>Value the property using the Cap Rate version of the Income Approach.  You will do this by computing each entry in the following table and the using those numbers to compute the Estimated Price.</w:t>
      </w:r>
      <w:r w:rsidR="00B70773">
        <w:rPr>
          <w:rFonts w:cstheme="minorHAnsi"/>
        </w:rPr>
        <w:t xml:space="preserve">  (Note: you may wish to set up a more detailed version of the table, where each tenant’s rent and </w:t>
      </w:r>
      <w:r w:rsidR="00015373">
        <w:rPr>
          <w:rFonts w:cstheme="minorHAnsi"/>
        </w:rPr>
        <w:t>each individual operating expense</w:t>
      </w:r>
      <w:r w:rsidR="00B70773">
        <w:rPr>
          <w:rFonts w:cstheme="minorHAnsi"/>
        </w:rPr>
        <w:t xml:space="preserve"> is broken out separately.) </w:t>
      </w:r>
    </w:p>
    <w:p w:rsidR="00B70773" w:rsidRDefault="00B70773" w:rsidP="00A10B15">
      <w:pPr>
        <w:autoSpaceDE w:val="0"/>
        <w:autoSpaceDN w:val="0"/>
        <w:adjustRightInd w:val="0"/>
        <w:spacing w:after="0" w:line="240" w:lineRule="auto"/>
        <w:jc w:val="both"/>
        <w:rPr>
          <w:rFonts w:cstheme="minorHAnsi"/>
        </w:rPr>
      </w:pPr>
    </w:p>
    <w:tbl>
      <w:tblPr>
        <w:tblW w:w="4380" w:type="dxa"/>
        <w:tblLook w:val="04A0"/>
      </w:tblPr>
      <w:tblGrid>
        <w:gridCol w:w="3180"/>
        <w:gridCol w:w="1200"/>
      </w:tblGrid>
      <w:tr w:rsidR="00B70773" w:rsidRPr="00B70773" w:rsidTr="00B70773">
        <w:trPr>
          <w:trHeight w:val="300"/>
        </w:trPr>
        <w:tc>
          <w:tcPr>
            <w:tcW w:w="3180" w:type="dxa"/>
            <w:tcBorders>
              <w:top w:val="nil"/>
              <w:left w:val="nil"/>
              <w:bottom w:val="single" w:sz="8" w:space="0" w:color="auto"/>
              <w:right w:val="nil"/>
            </w:tcBorders>
            <w:shd w:val="clear" w:color="auto" w:fill="auto"/>
            <w:noWrap/>
            <w:vAlign w:val="bottom"/>
            <w:hideMark/>
          </w:tcPr>
          <w:p w:rsidR="00B70773" w:rsidRPr="00B70773" w:rsidRDefault="00B70773" w:rsidP="00B70773">
            <w:pPr>
              <w:spacing w:after="0" w:line="240" w:lineRule="auto"/>
              <w:rPr>
                <w:rFonts w:ascii="Calibri" w:eastAsia="Times New Roman" w:hAnsi="Calibri" w:cs="Calibri"/>
                <w:b/>
                <w:bCs/>
                <w:color w:val="000000"/>
              </w:rPr>
            </w:pPr>
            <w:r w:rsidRPr="00B70773">
              <w:rPr>
                <w:rFonts w:ascii="Calibri" w:eastAsia="Times New Roman" w:hAnsi="Calibri" w:cs="Calibri"/>
                <w:b/>
                <w:bCs/>
                <w:color w:val="000000"/>
              </w:rPr>
              <w:t>Item</w:t>
            </w:r>
          </w:p>
        </w:tc>
        <w:tc>
          <w:tcPr>
            <w:tcW w:w="1200" w:type="dxa"/>
            <w:tcBorders>
              <w:top w:val="nil"/>
              <w:left w:val="nil"/>
              <w:bottom w:val="single" w:sz="8" w:space="0" w:color="auto"/>
              <w:right w:val="nil"/>
            </w:tcBorders>
            <w:shd w:val="clear" w:color="auto" w:fill="auto"/>
            <w:noWrap/>
            <w:vAlign w:val="bottom"/>
            <w:hideMark/>
          </w:tcPr>
          <w:p w:rsidR="00B70773" w:rsidRPr="00B70773" w:rsidRDefault="00B70773" w:rsidP="00B70773">
            <w:pPr>
              <w:spacing w:after="0" w:line="240" w:lineRule="auto"/>
              <w:jc w:val="center"/>
              <w:rPr>
                <w:rFonts w:ascii="Calibri" w:eastAsia="Times New Roman" w:hAnsi="Calibri" w:cs="Calibri"/>
                <w:b/>
                <w:bCs/>
                <w:color w:val="000000"/>
              </w:rPr>
            </w:pPr>
            <w:r w:rsidRPr="00B70773">
              <w:rPr>
                <w:rFonts w:ascii="Calibri" w:eastAsia="Times New Roman" w:hAnsi="Calibri" w:cs="Calibri"/>
                <w:b/>
                <w:bCs/>
                <w:color w:val="000000"/>
              </w:rPr>
              <w:t>Year 1</w:t>
            </w:r>
          </w:p>
        </w:tc>
      </w:tr>
      <w:tr w:rsidR="00B70773" w:rsidRPr="00B70773" w:rsidTr="00B70773">
        <w:trPr>
          <w:trHeight w:val="292"/>
        </w:trPr>
        <w:tc>
          <w:tcPr>
            <w:tcW w:w="3180" w:type="dxa"/>
            <w:tcBorders>
              <w:top w:val="nil"/>
              <w:left w:val="nil"/>
              <w:bottom w:val="nil"/>
              <w:right w:val="nil"/>
            </w:tcBorders>
            <w:shd w:val="clear" w:color="auto" w:fill="auto"/>
            <w:noWrap/>
            <w:vAlign w:val="bottom"/>
            <w:hideMark/>
          </w:tcPr>
          <w:p w:rsidR="00B70773" w:rsidRPr="00B70773" w:rsidRDefault="00B70773" w:rsidP="00B70773">
            <w:pPr>
              <w:spacing w:after="0" w:line="240" w:lineRule="auto"/>
              <w:rPr>
                <w:rFonts w:ascii="Calibri" w:eastAsia="Times New Roman" w:hAnsi="Calibri" w:cs="Calibri"/>
                <w:color w:val="000000"/>
              </w:rPr>
            </w:pPr>
            <w:r w:rsidRPr="00B70773">
              <w:rPr>
                <w:rFonts w:ascii="Calibri" w:eastAsia="Times New Roman" w:hAnsi="Calibri" w:cs="Calibri"/>
                <w:color w:val="000000"/>
              </w:rPr>
              <w:t>Total Annual Rent</w:t>
            </w:r>
          </w:p>
        </w:tc>
        <w:tc>
          <w:tcPr>
            <w:tcW w:w="1200" w:type="dxa"/>
            <w:tcBorders>
              <w:top w:val="nil"/>
              <w:left w:val="nil"/>
              <w:bottom w:val="nil"/>
              <w:right w:val="nil"/>
            </w:tcBorders>
            <w:shd w:val="clear" w:color="auto" w:fill="auto"/>
            <w:noWrap/>
            <w:vAlign w:val="bottom"/>
            <w:hideMark/>
          </w:tcPr>
          <w:p w:rsidR="00B70773" w:rsidRPr="00B70773" w:rsidRDefault="00B70773" w:rsidP="00B70773">
            <w:pPr>
              <w:spacing w:after="0" w:line="240" w:lineRule="auto"/>
              <w:rPr>
                <w:rFonts w:ascii="Calibri" w:eastAsia="Times New Roman" w:hAnsi="Calibri" w:cs="Calibri"/>
                <w:color w:val="000000"/>
              </w:rPr>
            </w:pPr>
          </w:p>
        </w:tc>
      </w:tr>
      <w:tr w:rsidR="00B70773" w:rsidRPr="00B70773" w:rsidTr="00B70773">
        <w:trPr>
          <w:trHeight w:val="300"/>
        </w:trPr>
        <w:tc>
          <w:tcPr>
            <w:tcW w:w="3180" w:type="dxa"/>
            <w:tcBorders>
              <w:top w:val="nil"/>
              <w:left w:val="nil"/>
              <w:bottom w:val="single" w:sz="8" w:space="0" w:color="auto"/>
              <w:right w:val="nil"/>
            </w:tcBorders>
            <w:shd w:val="clear" w:color="auto" w:fill="auto"/>
            <w:noWrap/>
            <w:vAlign w:val="bottom"/>
            <w:hideMark/>
          </w:tcPr>
          <w:p w:rsidR="00B70773" w:rsidRPr="00B70773" w:rsidRDefault="00B70773" w:rsidP="00B70773">
            <w:pPr>
              <w:spacing w:after="0" w:line="240" w:lineRule="auto"/>
              <w:rPr>
                <w:rFonts w:ascii="Calibri" w:eastAsia="Times New Roman" w:hAnsi="Calibri" w:cs="Calibri"/>
                <w:color w:val="000000"/>
              </w:rPr>
            </w:pPr>
            <w:r w:rsidRPr="00B70773">
              <w:rPr>
                <w:rFonts w:ascii="Calibri" w:eastAsia="Times New Roman" w:hAnsi="Calibri" w:cs="Calibri"/>
                <w:color w:val="000000"/>
              </w:rPr>
              <w:t>-Total Operating Expenses</w:t>
            </w:r>
          </w:p>
        </w:tc>
        <w:tc>
          <w:tcPr>
            <w:tcW w:w="1200" w:type="dxa"/>
            <w:tcBorders>
              <w:top w:val="nil"/>
              <w:left w:val="nil"/>
              <w:bottom w:val="single" w:sz="8" w:space="0" w:color="auto"/>
              <w:right w:val="nil"/>
            </w:tcBorders>
            <w:shd w:val="clear" w:color="auto" w:fill="auto"/>
            <w:noWrap/>
            <w:vAlign w:val="bottom"/>
            <w:hideMark/>
          </w:tcPr>
          <w:p w:rsidR="00B70773" w:rsidRPr="00B70773" w:rsidRDefault="00B70773" w:rsidP="00B70773">
            <w:pPr>
              <w:spacing w:after="0" w:line="240" w:lineRule="auto"/>
              <w:rPr>
                <w:rFonts w:ascii="Calibri" w:eastAsia="Times New Roman" w:hAnsi="Calibri" w:cs="Calibri"/>
                <w:color w:val="000000"/>
              </w:rPr>
            </w:pPr>
            <w:r w:rsidRPr="00B70773">
              <w:rPr>
                <w:rFonts w:ascii="Calibri" w:eastAsia="Times New Roman" w:hAnsi="Calibri" w:cs="Calibri"/>
                <w:color w:val="000000"/>
              </w:rPr>
              <w:t> </w:t>
            </w:r>
          </w:p>
        </w:tc>
      </w:tr>
      <w:tr w:rsidR="00B70773" w:rsidRPr="00B70773" w:rsidTr="00B70773">
        <w:trPr>
          <w:trHeight w:val="292"/>
        </w:trPr>
        <w:tc>
          <w:tcPr>
            <w:tcW w:w="3180" w:type="dxa"/>
            <w:tcBorders>
              <w:top w:val="nil"/>
              <w:left w:val="nil"/>
              <w:bottom w:val="nil"/>
              <w:right w:val="nil"/>
            </w:tcBorders>
            <w:shd w:val="clear" w:color="auto" w:fill="auto"/>
            <w:noWrap/>
            <w:vAlign w:val="bottom"/>
            <w:hideMark/>
          </w:tcPr>
          <w:p w:rsidR="00B70773" w:rsidRPr="00B70773" w:rsidRDefault="00B70773" w:rsidP="00B70773">
            <w:pPr>
              <w:spacing w:after="0" w:line="240" w:lineRule="auto"/>
              <w:rPr>
                <w:rFonts w:ascii="Calibri" w:eastAsia="Times New Roman" w:hAnsi="Calibri" w:cs="Calibri"/>
                <w:color w:val="000000"/>
              </w:rPr>
            </w:pPr>
            <w:r w:rsidRPr="00B70773">
              <w:rPr>
                <w:rFonts w:ascii="Calibri" w:eastAsia="Times New Roman" w:hAnsi="Calibri" w:cs="Calibri"/>
                <w:color w:val="000000"/>
              </w:rPr>
              <w:t>=Net Operating Income</w:t>
            </w:r>
          </w:p>
        </w:tc>
        <w:tc>
          <w:tcPr>
            <w:tcW w:w="1200" w:type="dxa"/>
            <w:tcBorders>
              <w:top w:val="nil"/>
              <w:left w:val="nil"/>
              <w:bottom w:val="nil"/>
              <w:right w:val="nil"/>
            </w:tcBorders>
            <w:shd w:val="clear" w:color="auto" w:fill="auto"/>
            <w:noWrap/>
            <w:vAlign w:val="bottom"/>
            <w:hideMark/>
          </w:tcPr>
          <w:p w:rsidR="00B70773" w:rsidRPr="00B70773" w:rsidRDefault="00B70773" w:rsidP="00B70773">
            <w:pPr>
              <w:spacing w:after="0" w:line="240" w:lineRule="auto"/>
              <w:rPr>
                <w:rFonts w:ascii="Calibri" w:eastAsia="Times New Roman" w:hAnsi="Calibri" w:cs="Calibri"/>
                <w:color w:val="000000"/>
              </w:rPr>
            </w:pPr>
          </w:p>
        </w:tc>
      </w:tr>
      <w:tr w:rsidR="00B70773" w:rsidRPr="00B70773" w:rsidTr="00B70773">
        <w:trPr>
          <w:trHeight w:val="300"/>
        </w:trPr>
        <w:tc>
          <w:tcPr>
            <w:tcW w:w="3180" w:type="dxa"/>
            <w:tcBorders>
              <w:top w:val="nil"/>
              <w:left w:val="nil"/>
              <w:bottom w:val="single" w:sz="8" w:space="0" w:color="auto"/>
              <w:right w:val="nil"/>
            </w:tcBorders>
            <w:shd w:val="clear" w:color="auto" w:fill="auto"/>
            <w:noWrap/>
            <w:vAlign w:val="bottom"/>
            <w:hideMark/>
          </w:tcPr>
          <w:p w:rsidR="00B70773" w:rsidRPr="00B70773" w:rsidRDefault="00B70773" w:rsidP="00B70773">
            <w:pPr>
              <w:spacing w:after="0" w:line="240" w:lineRule="auto"/>
              <w:rPr>
                <w:rFonts w:ascii="Calibri" w:eastAsia="Times New Roman" w:hAnsi="Calibri" w:cs="Calibri"/>
                <w:color w:val="000000"/>
              </w:rPr>
            </w:pPr>
            <w:r w:rsidRPr="00B70773">
              <w:rPr>
                <w:rFonts w:ascii="Calibri" w:eastAsia="Times New Roman" w:hAnsi="Calibri" w:cs="Calibri"/>
                <w:color w:val="000000"/>
              </w:rPr>
              <w:t>Cap Rate</w:t>
            </w:r>
          </w:p>
        </w:tc>
        <w:tc>
          <w:tcPr>
            <w:tcW w:w="1200" w:type="dxa"/>
            <w:tcBorders>
              <w:top w:val="nil"/>
              <w:left w:val="nil"/>
              <w:bottom w:val="single" w:sz="8" w:space="0" w:color="auto"/>
              <w:right w:val="nil"/>
            </w:tcBorders>
            <w:shd w:val="clear" w:color="auto" w:fill="auto"/>
            <w:noWrap/>
            <w:vAlign w:val="bottom"/>
            <w:hideMark/>
          </w:tcPr>
          <w:p w:rsidR="00B70773" w:rsidRPr="00B70773" w:rsidRDefault="00B70773" w:rsidP="00B70773">
            <w:pPr>
              <w:spacing w:after="0" w:line="240" w:lineRule="auto"/>
              <w:rPr>
                <w:rFonts w:ascii="Calibri" w:eastAsia="Times New Roman" w:hAnsi="Calibri" w:cs="Calibri"/>
                <w:color w:val="000000"/>
              </w:rPr>
            </w:pPr>
            <w:r w:rsidRPr="00B70773">
              <w:rPr>
                <w:rFonts w:ascii="Calibri" w:eastAsia="Times New Roman" w:hAnsi="Calibri" w:cs="Calibri"/>
                <w:color w:val="000000"/>
              </w:rPr>
              <w:t> </w:t>
            </w:r>
          </w:p>
        </w:tc>
      </w:tr>
      <w:tr w:rsidR="00B70773" w:rsidRPr="00B70773" w:rsidTr="00B70773">
        <w:trPr>
          <w:trHeight w:val="292"/>
        </w:trPr>
        <w:tc>
          <w:tcPr>
            <w:tcW w:w="3180" w:type="dxa"/>
            <w:tcBorders>
              <w:top w:val="nil"/>
              <w:left w:val="nil"/>
              <w:bottom w:val="nil"/>
              <w:right w:val="nil"/>
            </w:tcBorders>
            <w:shd w:val="clear" w:color="auto" w:fill="auto"/>
            <w:noWrap/>
            <w:vAlign w:val="bottom"/>
            <w:hideMark/>
          </w:tcPr>
          <w:p w:rsidR="00B70773" w:rsidRPr="00B70773" w:rsidRDefault="00B70773" w:rsidP="00B70773">
            <w:pPr>
              <w:spacing w:after="0" w:line="240" w:lineRule="auto"/>
              <w:rPr>
                <w:rFonts w:ascii="Calibri" w:eastAsia="Times New Roman" w:hAnsi="Calibri" w:cs="Calibri"/>
                <w:color w:val="000000"/>
              </w:rPr>
            </w:pPr>
            <w:r w:rsidRPr="00B70773">
              <w:rPr>
                <w:rFonts w:ascii="Calibri" w:eastAsia="Times New Roman" w:hAnsi="Calibri" w:cs="Calibri"/>
                <w:color w:val="000000"/>
              </w:rPr>
              <w:t>Estimated Price (=NOI/Cap Rate)</w:t>
            </w:r>
          </w:p>
        </w:tc>
        <w:tc>
          <w:tcPr>
            <w:tcW w:w="1200" w:type="dxa"/>
            <w:tcBorders>
              <w:top w:val="nil"/>
              <w:left w:val="nil"/>
              <w:bottom w:val="nil"/>
              <w:right w:val="nil"/>
            </w:tcBorders>
            <w:shd w:val="clear" w:color="auto" w:fill="auto"/>
            <w:noWrap/>
            <w:vAlign w:val="bottom"/>
            <w:hideMark/>
          </w:tcPr>
          <w:p w:rsidR="00B70773" w:rsidRPr="00B70773" w:rsidRDefault="00B70773" w:rsidP="00B70773">
            <w:pPr>
              <w:spacing w:after="0" w:line="240" w:lineRule="auto"/>
              <w:rPr>
                <w:rFonts w:ascii="Calibri" w:eastAsia="Times New Roman" w:hAnsi="Calibri" w:cs="Calibri"/>
                <w:color w:val="000000"/>
              </w:rPr>
            </w:pPr>
          </w:p>
        </w:tc>
      </w:tr>
    </w:tbl>
    <w:p w:rsidR="00B70773" w:rsidRDefault="00B70773" w:rsidP="00A10B15">
      <w:pPr>
        <w:autoSpaceDE w:val="0"/>
        <w:autoSpaceDN w:val="0"/>
        <w:adjustRightInd w:val="0"/>
        <w:spacing w:after="0" w:line="240" w:lineRule="auto"/>
        <w:jc w:val="both"/>
        <w:rPr>
          <w:rFonts w:cstheme="minorHAnsi"/>
          <w:b/>
        </w:rPr>
      </w:pPr>
    </w:p>
    <w:p w:rsidR="00A10B15" w:rsidRDefault="00A10B15" w:rsidP="00971ECF">
      <w:pPr>
        <w:autoSpaceDE w:val="0"/>
        <w:autoSpaceDN w:val="0"/>
        <w:adjustRightInd w:val="0"/>
        <w:spacing w:after="0" w:line="240" w:lineRule="auto"/>
        <w:jc w:val="both"/>
        <w:rPr>
          <w:rFonts w:cstheme="minorHAnsi"/>
          <w:b/>
        </w:rPr>
      </w:pPr>
    </w:p>
    <w:p w:rsidR="00B70773" w:rsidRDefault="00B70773" w:rsidP="00971ECF">
      <w:pPr>
        <w:autoSpaceDE w:val="0"/>
        <w:autoSpaceDN w:val="0"/>
        <w:adjustRightInd w:val="0"/>
        <w:spacing w:after="0" w:line="240" w:lineRule="auto"/>
        <w:jc w:val="both"/>
        <w:rPr>
          <w:rFonts w:cstheme="minorHAnsi"/>
        </w:rPr>
      </w:pPr>
      <w:r w:rsidRPr="00971ECF">
        <w:rPr>
          <w:rFonts w:cstheme="minorHAnsi"/>
          <w:b/>
        </w:rPr>
        <w:t xml:space="preserve">Question </w:t>
      </w:r>
      <w:r>
        <w:rPr>
          <w:rFonts w:cstheme="minorHAnsi"/>
          <w:b/>
        </w:rPr>
        <w:t>6</w:t>
      </w:r>
      <w:r w:rsidRPr="00971ECF">
        <w:rPr>
          <w:rFonts w:cstheme="minorHAnsi"/>
          <w:b/>
        </w:rPr>
        <w:t>:</w:t>
      </w:r>
      <w:r>
        <w:rPr>
          <w:rFonts w:cstheme="minorHAnsi"/>
        </w:rPr>
        <w:t>What percent of total annual rental income is operating expenses?  Does this percent seem reasonable to you?  (Hint: google around to find what percent of gross income that operating expenses should be.)</w:t>
      </w:r>
    </w:p>
    <w:p w:rsidR="00B70773" w:rsidRDefault="00B70773">
      <w:pPr>
        <w:rPr>
          <w:rFonts w:cstheme="minorHAnsi"/>
        </w:rPr>
      </w:pPr>
      <w:r>
        <w:rPr>
          <w:rFonts w:cstheme="minorHAnsi"/>
        </w:rPr>
        <w:br w:type="page"/>
      </w:r>
    </w:p>
    <w:p w:rsidR="00B70773" w:rsidRDefault="00B70773" w:rsidP="00971ECF">
      <w:pPr>
        <w:autoSpaceDE w:val="0"/>
        <w:autoSpaceDN w:val="0"/>
        <w:adjustRightInd w:val="0"/>
        <w:spacing w:after="0" w:line="240" w:lineRule="auto"/>
        <w:jc w:val="both"/>
        <w:rPr>
          <w:rFonts w:cstheme="minorHAnsi"/>
        </w:rPr>
      </w:pPr>
      <w:r w:rsidRPr="00971ECF">
        <w:rPr>
          <w:rFonts w:cstheme="minorHAnsi"/>
          <w:b/>
        </w:rPr>
        <w:lastRenderedPageBreak/>
        <w:t xml:space="preserve">Question </w:t>
      </w:r>
      <w:r>
        <w:rPr>
          <w:rFonts w:cstheme="minorHAnsi"/>
          <w:b/>
        </w:rPr>
        <w:t>7</w:t>
      </w:r>
      <w:r w:rsidRPr="00971ECF">
        <w:rPr>
          <w:rFonts w:cstheme="minorHAnsi"/>
          <w:b/>
        </w:rPr>
        <w:t>:</w:t>
      </w:r>
      <w:r>
        <w:rPr>
          <w:rFonts w:cstheme="minorHAnsi"/>
        </w:rPr>
        <w:t xml:space="preserve">Value the property using the DCF version of the Income Approach.  You will do this by computing each entry in the following table and the using those numbers to compute the Estimated Price.  </w:t>
      </w:r>
    </w:p>
    <w:p w:rsidR="00B70773" w:rsidRDefault="00B70773" w:rsidP="00971ECF">
      <w:pPr>
        <w:autoSpaceDE w:val="0"/>
        <w:autoSpaceDN w:val="0"/>
        <w:adjustRightInd w:val="0"/>
        <w:spacing w:after="0" w:line="240" w:lineRule="auto"/>
        <w:jc w:val="both"/>
        <w:rPr>
          <w:rFonts w:cstheme="minorHAnsi"/>
        </w:rPr>
      </w:pPr>
    </w:p>
    <w:p w:rsidR="00B70773" w:rsidRDefault="00B70773" w:rsidP="00971ECF">
      <w:pPr>
        <w:autoSpaceDE w:val="0"/>
        <w:autoSpaceDN w:val="0"/>
        <w:adjustRightInd w:val="0"/>
        <w:spacing w:after="0" w:line="240" w:lineRule="auto"/>
        <w:jc w:val="both"/>
        <w:rPr>
          <w:rFonts w:cstheme="minorHAnsi"/>
          <w:b/>
        </w:rPr>
      </w:pPr>
      <w:r w:rsidRPr="00B70773">
        <w:rPr>
          <w:noProof/>
        </w:rPr>
        <w:drawing>
          <wp:inline distT="0" distB="0" distL="0" distR="0">
            <wp:extent cx="5634355" cy="9086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4355" cy="908685"/>
                    </a:xfrm>
                    <a:prstGeom prst="rect">
                      <a:avLst/>
                    </a:prstGeom>
                    <a:noFill/>
                    <a:ln>
                      <a:noFill/>
                    </a:ln>
                  </pic:spPr>
                </pic:pic>
              </a:graphicData>
            </a:graphic>
          </wp:inline>
        </w:drawing>
      </w:r>
    </w:p>
    <w:p w:rsidR="00B70773" w:rsidRDefault="00B70773" w:rsidP="00971ECF">
      <w:pPr>
        <w:autoSpaceDE w:val="0"/>
        <w:autoSpaceDN w:val="0"/>
        <w:adjustRightInd w:val="0"/>
        <w:spacing w:after="0" w:line="240" w:lineRule="auto"/>
        <w:jc w:val="both"/>
        <w:rPr>
          <w:rFonts w:cstheme="minorHAnsi"/>
          <w:b/>
        </w:rPr>
      </w:pPr>
    </w:p>
    <w:p w:rsidR="00B70773" w:rsidRPr="00B70773" w:rsidRDefault="00B70773" w:rsidP="00971ECF">
      <w:pPr>
        <w:autoSpaceDE w:val="0"/>
        <w:autoSpaceDN w:val="0"/>
        <w:adjustRightInd w:val="0"/>
        <w:spacing w:after="0" w:line="240" w:lineRule="auto"/>
        <w:jc w:val="both"/>
        <w:rPr>
          <w:rFonts w:cstheme="minorHAnsi"/>
        </w:rPr>
      </w:pPr>
      <w:r w:rsidRPr="00B70773">
        <w:rPr>
          <w:rFonts w:cstheme="minorHAnsi"/>
        </w:rPr>
        <w:t xml:space="preserve">Note that this is </w:t>
      </w:r>
      <w:r>
        <w:rPr>
          <w:rFonts w:cstheme="minorHAnsi"/>
        </w:rPr>
        <w:t xml:space="preserve">conceptually </w:t>
      </w:r>
      <w:r w:rsidRPr="00B70773">
        <w:rPr>
          <w:rFonts w:cstheme="minorHAnsi"/>
        </w:rPr>
        <w:t>the same as the Cap Rate Approach, but with two key differences:</w:t>
      </w:r>
    </w:p>
    <w:p w:rsidR="00B70773" w:rsidRPr="00B70773" w:rsidRDefault="00B70773" w:rsidP="00B70773">
      <w:pPr>
        <w:pStyle w:val="ListParagraph"/>
        <w:numPr>
          <w:ilvl w:val="0"/>
          <w:numId w:val="3"/>
        </w:numPr>
        <w:autoSpaceDE w:val="0"/>
        <w:autoSpaceDN w:val="0"/>
        <w:adjustRightInd w:val="0"/>
        <w:spacing w:after="0" w:line="240" w:lineRule="auto"/>
        <w:jc w:val="both"/>
        <w:rPr>
          <w:rFonts w:cstheme="minorHAnsi"/>
        </w:rPr>
      </w:pPr>
      <w:r w:rsidRPr="00B70773">
        <w:rPr>
          <w:rFonts w:cstheme="minorHAnsi"/>
        </w:rPr>
        <w:t>The cash flows are spread out over 10 years.</w:t>
      </w:r>
    </w:p>
    <w:p w:rsidR="00B70773" w:rsidRDefault="00B70773" w:rsidP="00B70773">
      <w:pPr>
        <w:pStyle w:val="ListParagraph"/>
        <w:numPr>
          <w:ilvl w:val="0"/>
          <w:numId w:val="3"/>
        </w:numPr>
        <w:autoSpaceDE w:val="0"/>
        <w:autoSpaceDN w:val="0"/>
        <w:adjustRightInd w:val="0"/>
        <w:spacing w:after="0" w:line="240" w:lineRule="auto"/>
        <w:jc w:val="both"/>
        <w:rPr>
          <w:rFonts w:cstheme="minorHAnsi"/>
        </w:rPr>
      </w:pPr>
      <w:r w:rsidRPr="00B70773">
        <w:rPr>
          <w:rFonts w:cstheme="minorHAnsi"/>
        </w:rPr>
        <w:t>In the final year that you are holding the building, you will apply the appropriate cap rate to that year’s NOI to obtain a predicted sales price.  You will then add this sales price to</w:t>
      </w:r>
      <w:r w:rsidR="00015373">
        <w:rPr>
          <w:rFonts w:cstheme="minorHAnsi"/>
        </w:rPr>
        <w:t xml:space="preserve"> your year 10 NOI before computing</w:t>
      </w:r>
      <w:r w:rsidRPr="00B70773">
        <w:rPr>
          <w:rFonts w:cstheme="minorHAnsi"/>
        </w:rPr>
        <w:t xml:space="preserve"> the NPV of all your cash flows.</w:t>
      </w: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r w:rsidRPr="00971ECF">
        <w:rPr>
          <w:rFonts w:cstheme="minorHAnsi"/>
          <w:b/>
        </w:rPr>
        <w:t xml:space="preserve">Question </w:t>
      </w:r>
      <w:r>
        <w:rPr>
          <w:rFonts w:cstheme="minorHAnsi"/>
          <w:b/>
        </w:rPr>
        <w:t>8</w:t>
      </w:r>
      <w:r w:rsidRPr="00971ECF">
        <w:rPr>
          <w:rFonts w:cstheme="minorHAnsi"/>
          <w:b/>
        </w:rPr>
        <w:t>:</w:t>
      </w:r>
      <w:r>
        <w:rPr>
          <w:rFonts w:cstheme="minorHAnsi"/>
        </w:rPr>
        <w:t xml:space="preserve">Value the property using the DCF version of the Income Approach, but for the pessimistic scenario.   </w:t>
      </w:r>
    </w:p>
    <w:p w:rsidR="004C35B6" w:rsidRDefault="004C35B6">
      <w:pPr>
        <w:rPr>
          <w:rFonts w:cstheme="minorHAnsi"/>
        </w:rPr>
      </w:pPr>
      <w:r>
        <w:rPr>
          <w:rFonts w:cstheme="minorHAnsi"/>
        </w:rPr>
        <w:br w:type="page"/>
      </w:r>
    </w:p>
    <w:p w:rsidR="004C35B6" w:rsidRDefault="004C35B6" w:rsidP="004C35B6">
      <w:pPr>
        <w:autoSpaceDE w:val="0"/>
        <w:autoSpaceDN w:val="0"/>
        <w:adjustRightInd w:val="0"/>
        <w:spacing w:after="0" w:line="240" w:lineRule="auto"/>
        <w:jc w:val="both"/>
        <w:rPr>
          <w:rFonts w:cstheme="minorHAnsi"/>
        </w:rPr>
      </w:pPr>
      <w:r w:rsidRPr="00971ECF">
        <w:rPr>
          <w:rFonts w:cstheme="minorHAnsi"/>
          <w:b/>
        </w:rPr>
        <w:lastRenderedPageBreak/>
        <w:t xml:space="preserve">Question </w:t>
      </w:r>
      <w:r w:rsidR="00947DEF">
        <w:rPr>
          <w:rFonts w:cstheme="minorHAnsi"/>
          <w:b/>
        </w:rPr>
        <w:t>9</w:t>
      </w:r>
      <w:r w:rsidRPr="00971ECF">
        <w:rPr>
          <w:rFonts w:cstheme="minorHAnsi"/>
          <w:b/>
        </w:rPr>
        <w:t>:</w:t>
      </w:r>
      <w:r>
        <w:rPr>
          <w:rFonts w:cstheme="minorHAnsi"/>
        </w:rPr>
        <w:t xml:space="preserve">Value the property using the DCF version of the Income Approach, but for the </w:t>
      </w:r>
      <w:r w:rsidR="00947DEF">
        <w:rPr>
          <w:rFonts w:cstheme="minorHAnsi"/>
        </w:rPr>
        <w:t>opti</w:t>
      </w:r>
      <w:r>
        <w:rPr>
          <w:rFonts w:cstheme="minorHAnsi"/>
        </w:rPr>
        <w:t xml:space="preserve">mistic scenario.   </w:t>
      </w: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D86D02" w:rsidRDefault="00D86D02" w:rsidP="00D86D02">
      <w:pPr>
        <w:autoSpaceDE w:val="0"/>
        <w:autoSpaceDN w:val="0"/>
        <w:adjustRightInd w:val="0"/>
        <w:spacing w:after="0" w:line="240" w:lineRule="auto"/>
        <w:jc w:val="both"/>
        <w:rPr>
          <w:rFonts w:cstheme="minorHAnsi"/>
        </w:rPr>
      </w:pPr>
      <w:r w:rsidRPr="00971ECF">
        <w:rPr>
          <w:rFonts w:cstheme="minorHAnsi"/>
          <w:b/>
        </w:rPr>
        <w:t xml:space="preserve">Question </w:t>
      </w:r>
      <w:r>
        <w:rPr>
          <w:rFonts w:cstheme="minorHAnsi"/>
          <w:b/>
        </w:rPr>
        <w:t>10</w:t>
      </w:r>
      <w:r w:rsidRPr="00971ECF">
        <w:rPr>
          <w:rFonts w:cstheme="minorHAnsi"/>
          <w:b/>
        </w:rPr>
        <w:t>:</w:t>
      </w:r>
      <w:r>
        <w:rPr>
          <w:rFonts w:cstheme="minorHAnsi"/>
        </w:rPr>
        <w:t>Summarize your valuation results by completing the following table:</w:t>
      </w:r>
    </w:p>
    <w:p w:rsidR="00D86D02" w:rsidRDefault="00D86D02" w:rsidP="00D86D02">
      <w:pPr>
        <w:autoSpaceDE w:val="0"/>
        <w:autoSpaceDN w:val="0"/>
        <w:adjustRightInd w:val="0"/>
        <w:spacing w:after="0" w:line="240" w:lineRule="auto"/>
        <w:jc w:val="both"/>
        <w:rPr>
          <w:rFonts w:cstheme="minorHAnsi"/>
        </w:rPr>
      </w:pPr>
    </w:p>
    <w:p w:rsidR="00D86D02" w:rsidRDefault="00D86D02" w:rsidP="00D86D02">
      <w:pPr>
        <w:autoSpaceDE w:val="0"/>
        <w:autoSpaceDN w:val="0"/>
        <w:adjustRightInd w:val="0"/>
        <w:spacing w:after="0" w:line="240" w:lineRule="auto"/>
        <w:jc w:val="both"/>
        <w:rPr>
          <w:rFonts w:cstheme="minorHAnsi"/>
        </w:rPr>
      </w:pPr>
    </w:p>
    <w:tbl>
      <w:tblPr>
        <w:tblW w:w="6565" w:type="dxa"/>
        <w:tblInd w:w="522" w:type="dxa"/>
        <w:tblLook w:val="04A0"/>
      </w:tblPr>
      <w:tblGrid>
        <w:gridCol w:w="1900"/>
        <w:gridCol w:w="2145"/>
        <w:gridCol w:w="2520"/>
      </w:tblGrid>
      <w:tr w:rsidR="00D86D02" w:rsidRPr="00D86D02" w:rsidTr="00D86D02">
        <w:trPr>
          <w:trHeight w:val="300"/>
        </w:trPr>
        <w:tc>
          <w:tcPr>
            <w:tcW w:w="1900" w:type="dxa"/>
            <w:tcBorders>
              <w:top w:val="single" w:sz="4" w:space="0" w:color="auto"/>
              <w:left w:val="single" w:sz="4" w:space="0" w:color="auto"/>
              <w:bottom w:val="single" w:sz="8" w:space="0" w:color="auto"/>
              <w:right w:val="nil"/>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b/>
                <w:bCs/>
                <w:color w:val="000000"/>
              </w:rPr>
            </w:pPr>
            <w:r w:rsidRPr="00D86D02">
              <w:rPr>
                <w:rFonts w:ascii="Calibri" w:eastAsia="Times New Roman" w:hAnsi="Calibri" w:cs="Calibri"/>
                <w:b/>
                <w:bCs/>
                <w:color w:val="000000"/>
              </w:rPr>
              <w:t>Approach</w:t>
            </w:r>
          </w:p>
        </w:tc>
        <w:tc>
          <w:tcPr>
            <w:tcW w:w="214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D86D02" w:rsidRPr="00D86D02" w:rsidRDefault="00D86D02" w:rsidP="00D86D02">
            <w:pPr>
              <w:spacing w:after="0" w:line="240" w:lineRule="auto"/>
              <w:jc w:val="right"/>
              <w:rPr>
                <w:rFonts w:ascii="Calibri" w:eastAsia="Times New Roman" w:hAnsi="Calibri" w:cs="Calibri"/>
                <w:b/>
                <w:bCs/>
                <w:color w:val="000000"/>
              </w:rPr>
            </w:pPr>
            <w:r w:rsidRPr="00D86D02">
              <w:rPr>
                <w:rFonts w:ascii="Calibri" w:eastAsia="Times New Roman" w:hAnsi="Calibri" w:cs="Calibri"/>
                <w:b/>
                <w:bCs/>
                <w:color w:val="000000"/>
              </w:rPr>
              <w:t>Estimated $Value</w:t>
            </w:r>
          </w:p>
        </w:tc>
        <w:tc>
          <w:tcPr>
            <w:tcW w:w="2520" w:type="dxa"/>
            <w:tcBorders>
              <w:top w:val="single" w:sz="4" w:space="0" w:color="auto"/>
              <w:left w:val="nil"/>
              <w:bottom w:val="single" w:sz="8" w:space="0" w:color="auto"/>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b/>
                <w:bCs/>
                <w:color w:val="000000"/>
              </w:rPr>
            </w:pPr>
            <w:r w:rsidRPr="00D86D02">
              <w:rPr>
                <w:rFonts w:ascii="Calibri" w:eastAsia="Times New Roman" w:hAnsi="Calibri" w:cs="Calibri"/>
                <w:b/>
                <w:bCs/>
                <w:color w:val="000000"/>
              </w:rPr>
              <w:t>Estimated $Value/SqFt</w:t>
            </w:r>
          </w:p>
        </w:tc>
      </w:tr>
      <w:tr w:rsidR="00D86D02" w:rsidRPr="00D86D02" w:rsidTr="00D86D02">
        <w:trPr>
          <w:trHeight w:val="292"/>
        </w:trPr>
        <w:tc>
          <w:tcPr>
            <w:tcW w:w="1900" w:type="dxa"/>
            <w:tcBorders>
              <w:top w:val="nil"/>
              <w:left w:val="single" w:sz="4" w:space="0" w:color="auto"/>
              <w:bottom w:val="nil"/>
              <w:right w:val="nil"/>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Cost Approach</w:t>
            </w:r>
          </w:p>
        </w:tc>
        <w:tc>
          <w:tcPr>
            <w:tcW w:w="2145" w:type="dxa"/>
            <w:tcBorders>
              <w:top w:val="nil"/>
              <w:left w:val="single" w:sz="4" w:space="0" w:color="auto"/>
              <w:bottom w:val="nil"/>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c>
          <w:tcPr>
            <w:tcW w:w="2520" w:type="dxa"/>
            <w:tcBorders>
              <w:top w:val="nil"/>
              <w:left w:val="nil"/>
              <w:bottom w:val="nil"/>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r>
      <w:tr w:rsidR="00D86D02" w:rsidRPr="00D86D02" w:rsidTr="00D86D02">
        <w:trPr>
          <w:trHeight w:val="292"/>
        </w:trPr>
        <w:tc>
          <w:tcPr>
            <w:tcW w:w="1900" w:type="dxa"/>
            <w:tcBorders>
              <w:top w:val="nil"/>
              <w:left w:val="single" w:sz="4" w:space="0" w:color="auto"/>
              <w:bottom w:val="nil"/>
              <w:right w:val="nil"/>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Comps Approach</w:t>
            </w:r>
          </w:p>
        </w:tc>
        <w:tc>
          <w:tcPr>
            <w:tcW w:w="2145" w:type="dxa"/>
            <w:tcBorders>
              <w:top w:val="nil"/>
              <w:left w:val="single" w:sz="4" w:space="0" w:color="auto"/>
              <w:bottom w:val="nil"/>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c>
          <w:tcPr>
            <w:tcW w:w="2520" w:type="dxa"/>
            <w:tcBorders>
              <w:top w:val="nil"/>
              <w:left w:val="nil"/>
              <w:bottom w:val="nil"/>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r>
      <w:tr w:rsidR="00D86D02" w:rsidRPr="00D86D02" w:rsidTr="00D86D02">
        <w:trPr>
          <w:trHeight w:val="292"/>
        </w:trPr>
        <w:tc>
          <w:tcPr>
            <w:tcW w:w="1900" w:type="dxa"/>
            <w:tcBorders>
              <w:top w:val="nil"/>
              <w:left w:val="single" w:sz="4" w:space="0" w:color="auto"/>
              <w:bottom w:val="nil"/>
              <w:right w:val="nil"/>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Cap Rate Approach</w:t>
            </w:r>
          </w:p>
        </w:tc>
        <w:tc>
          <w:tcPr>
            <w:tcW w:w="2145" w:type="dxa"/>
            <w:tcBorders>
              <w:top w:val="nil"/>
              <w:left w:val="single" w:sz="4" w:space="0" w:color="auto"/>
              <w:bottom w:val="nil"/>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c>
          <w:tcPr>
            <w:tcW w:w="2520" w:type="dxa"/>
            <w:tcBorders>
              <w:top w:val="nil"/>
              <w:left w:val="nil"/>
              <w:bottom w:val="nil"/>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r>
      <w:tr w:rsidR="00D86D02" w:rsidRPr="00D86D02" w:rsidTr="00D86D02">
        <w:trPr>
          <w:trHeight w:val="292"/>
        </w:trPr>
        <w:tc>
          <w:tcPr>
            <w:tcW w:w="1900" w:type="dxa"/>
            <w:tcBorders>
              <w:top w:val="nil"/>
              <w:left w:val="single" w:sz="4" w:space="0" w:color="auto"/>
              <w:bottom w:val="nil"/>
              <w:right w:val="nil"/>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DCF-Baseline</w:t>
            </w:r>
          </w:p>
        </w:tc>
        <w:tc>
          <w:tcPr>
            <w:tcW w:w="2145" w:type="dxa"/>
            <w:tcBorders>
              <w:top w:val="nil"/>
              <w:left w:val="single" w:sz="4" w:space="0" w:color="auto"/>
              <w:bottom w:val="nil"/>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c>
          <w:tcPr>
            <w:tcW w:w="2520" w:type="dxa"/>
            <w:tcBorders>
              <w:top w:val="nil"/>
              <w:left w:val="nil"/>
              <w:bottom w:val="nil"/>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r>
      <w:tr w:rsidR="00D86D02" w:rsidRPr="00D86D02" w:rsidTr="00D86D02">
        <w:trPr>
          <w:trHeight w:val="292"/>
        </w:trPr>
        <w:tc>
          <w:tcPr>
            <w:tcW w:w="1900" w:type="dxa"/>
            <w:tcBorders>
              <w:top w:val="nil"/>
              <w:left w:val="single" w:sz="4" w:space="0" w:color="auto"/>
              <w:bottom w:val="nil"/>
              <w:right w:val="nil"/>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DCF-Pessimistic</w:t>
            </w:r>
          </w:p>
        </w:tc>
        <w:tc>
          <w:tcPr>
            <w:tcW w:w="2145" w:type="dxa"/>
            <w:tcBorders>
              <w:top w:val="nil"/>
              <w:left w:val="single" w:sz="4" w:space="0" w:color="auto"/>
              <w:bottom w:val="nil"/>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c>
          <w:tcPr>
            <w:tcW w:w="2520" w:type="dxa"/>
            <w:tcBorders>
              <w:top w:val="nil"/>
              <w:left w:val="nil"/>
              <w:bottom w:val="nil"/>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r>
      <w:tr w:rsidR="00D86D02" w:rsidRPr="00D86D02" w:rsidTr="00D86D02">
        <w:trPr>
          <w:trHeight w:val="292"/>
        </w:trPr>
        <w:tc>
          <w:tcPr>
            <w:tcW w:w="1900" w:type="dxa"/>
            <w:tcBorders>
              <w:top w:val="nil"/>
              <w:left w:val="single" w:sz="4" w:space="0" w:color="auto"/>
              <w:bottom w:val="nil"/>
              <w:right w:val="nil"/>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DCF-Optimistic</w:t>
            </w:r>
          </w:p>
        </w:tc>
        <w:tc>
          <w:tcPr>
            <w:tcW w:w="2145" w:type="dxa"/>
            <w:tcBorders>
              <w:top w:val="nil"/>
              <w:left w:val="single" w:sz="4" w:space="0" w:color="auto"/>
              <w:bottom w:val="nil"/>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c>
          <w:tcPr>
            <w:tcW w:w="2520" w:type="dxa"/>
            <w:tcBorders>
              <w:top w:val="nil"/>
              <w:left w:val="nil"/>
              <w:bottom w:val="nil"/>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r>
      <w:tr w:rsidR="00D86D02" w:rsidRPr="00D86D02" w:rsidTr="00D86D02">
        <w:trPr>
          <w:trHeight w:val="292"/>
        </w:trPr>
        <w:tc>
          <w:tcPr>
            <w:tcW w:w="1900" w:type="dxa"/>
            <w:tcBorders>
              <w:top w:val="nil"/>
              <w:left w:val="single" w:sz="4" w:space="0" w:color="auto"/>
              <w:bottom w:val="single" w:sz="4" w:space="0" w:color="auto"/>
              <w:right w:val="nil"/>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Asking Price</w:t>
            </w:r>
          </w:p>
        </w:tc>
        <w:tc>
          <w:tcPr>
            <w:tcW w:w="2145" w:type="dxa"/>
            <w:tcBorders>
              <w:top w:val="nil"/>
              <w:left w:val="single" w:sz="4" w:space="0" w:color="auto"/>
              <w:bottom w:val="single" w:sz="4" w:space="0" w:color="auto"/>
              <w:right w:val="single" w:sz="4" w:space="0" w:color="auto"/>
            </w:tcBorders>
            <w:shd w:val="clear" w:color="auto" w:fill="auto"/>
            <w:noWrap/>
            <w:vAlign w:val="bottom"/>
            <w:hideMark/>
          </w:tcPr>
          <w:p w:rsidR="00D86D02" w:rsidRPr="00D86D02" w:rsidRDefault="00D86D02" w:rsidP="00D86D02">
            <w:pPr>
              <w:spacing w:after="0" w:line="240" w:lineRule="auto"/>
              <w:jc w:val="right"/>
              <w:rPr>
                <w:rFonts w:ascii="Calibri" w:eastAsia="Times New Roman" w:hAnsi="Calibri" w:cs="Calibri"/>
                <w:color w:val="000000"/>
              </w:rPr>
            </w:pPr>
            <w:r w:rsidRPr="00D86D02">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D86D02" w:rsidRPr="00D86D02" w:rsidRDefault="00D86D02" w:rsidP="00D86D02">
            <w:pPr>
              <w:spacing w:after="0" w:line="240" w:lineRule="auto"/>
              <w:rPr>
                <w:rFonts w:ascii="Calibri" w:eastAsia="Times New Roman" w:hAnsi="Calibri" w:cs="Calibri"/>
                <w:color w:val="000000"/>
              </w:rPr>
            </w:pPr>
            <w:r w:rsidRPr="00D86D02">
              <w:rPr>
                <w:rFonts w:ascii="Calibri" w:eastAsia="Times New Roman" w:hAnsi="Calibri" w:cs="Calibri"/>
                <w:color w:val="000000"/>
              </w:rPr>
              <w:t> </w:t>
            </w:r>
          </w:p>
        </w:tc>
      </w:tr>
    </w:tbl>
    <w:p w:rsidR="00D86D02" w:rsidRDefault="00D86D02" w:rsidP="00D86D02">
      <w:pPr>
        <w:autoSpaceDE w:val="0"/>
        <w:autoSpaceDN w:val="0"/>
        <w:adjustRightInd w:val="0"/>
        <w:spacing w:after="0" w:line="240" w:lineRule="auto"/>
        <w:jc w:val="both"/>
        <w:rPr>
          <w:rFonts w:cstheme="minorHAnsi"/>
        </w:rPr>
      </w:pPr>
    </w:p>
    <w:p w:rsidR="00D86D02" w:rsidRDefault="00D86D02" w:rsidP="004C35B6">
      <w:pPr>
        <w:autoSpaceDE w:val="0"/>
        <w:autoSpaceDN w:val="0"/>
        <w:adjustRightInd w:val="0"/>
        <w:spacing w:after="0" w:line="240" w:lineRule="auto"/>
        <w:jc w:val="both"/>
        <w:rPr>
          <w:rFonts w:cstheme="minorHAnsi"/>
        </w:rPr>
      </w:pPr>
    </w:p>
    <w:p w:rsidR="004C35B6" w:rsidRDefault="004C35B6" w:rsidP="004C35B6">
      <w:pPr>
        <w:autoSpaceDE w:val="0"/>
        <w:autoSpaceDN w:val="0"/>
        <w:adjustRightInd w:val="0"/>
        <w:spacing w:after="0" w:line="240" w:lineRule="auto"/>
        <w:jc w:val="both"/>
        <w:rPr>
          <w:rFonts w:cstheme="minorHAnsi"/>
        </w:rPr>
      </w:pPr>
    </w:p>
    <w:p w:rsidR="006C5778" w:rsidRPr="006C5778" w:rsidRDefault="00D86D02" w:rsidP="006C5778">
      <w:pPr>
        <w:autoSpaceDE w:val="0"/>
        <w:autoSpaceDN w:val="0"/>
        <w:adjustRightInd w:val="0"/>
        <w:spacing w:after="0" w:line="240" w:lineRule="auto"/>
        <w:jc w:val="both"/>
        <w:rPr>
          <w:rFonts w:cstheme="minorHAnsi"/>
        </w:rPr>
      </w:pPr>
      <w:r w:rsidRPr="00971ECF">
        <w:rPr>
          <w:rFonts w:cstheme="minorHAnsi"/>
          <w:b/>
        </w:rPr>
        <w:t xml:space="preserve">Question </w:t>
      </w:r>
      <w:r>
        <w:rPr>
          <w:rFonts w:cstheme="minorHAnsi"/>
          <w:b/>
        </w:rPr>
        <w:t>11</w:t>
      </w:r>
      <w:r w:rsidRPr="00971ECF">
        <w:rPr>
          <w:rFonts w:cstheme="minorHAnsi"/>
          <w:b/>
        </w:rPr>
        <w:t>:</w:t>
      </w:r>
      <w:r w:rsidR="006C5778">
        <w:rPr>
          <w:rFonts w:cstheme="minorHAnsi"/>
        </w:rPr>
        <w:t>Which</w:t>
      </w:r>
      <w:r w:rsidR="00E7763D" w:rsidRPr="006C5778">
        <w:rPr>
          <w:rFonts w:cstheme="minorHAnsi"/>
        </w:rPr>
        <w:t xml:space="preserve"> approach do you think is the most </w:t>
      </w:r>
      <w:r w:rsidR="006C5778">
        <w:rPr>
          <w:rFonts w:cstheme="minorHAnsi"/>
        </w:rPr>
        <w:t>appropriate</w:t>
      </w:r>
      <w:r w:rsidR="00E7763D" w:rsidRPr="006C5778">
        <w:rPr>
          <w:rFonts w:cstheme="minorHAnsi"/>
        </w:rPr>
        <w:t xml:space="preserve"> one for this case study, and why?</w:t>
      </w:r>
      <w:r w:rsidR="006C5778">
        <w:rPr>
          <w:rFonts w:cstheme="minorHAnsi"/>
        </w:rPr>
        <w:t xml:space="preserve">  Which</w:t>
      </w:r>
      <w:r w:rsidR="006C5778" w:rsidRPr="006C5778">
        <w:rPr>
          <w:rFonts w:cstheme="minorHAnsi"/>
        </w:rPr>
        <w:t xml:space="preserve"> approach do you think is the </w:t>
      </w:r>
      <w:r w:rsidR="006C5778">
        <w:rPr>
          <w:rFonts w:cstheme="minorHAnsi"/>
        </w:rPr>
        <w:t>leastappropriate</w:t>
      </w:r>
      <w:r w:rsidR="006C5778" w:rsidRPr="006C5778">
        <w:rPr>
          <w:rFonts w:cstheme="minorHAnsi"/>
        </w:rPr>
        <w:t xml:space="preserve"> one for this case study, and why?</w:t>
      </w:r>
    </w:p>
    <w:p w:rsidR="00E7763D" w:rsidRPr="006C5778" w:rsidRDefault="00E7763D" w:rsidP="004C35B6">
      <w:pPr>
        <w:autoSpaceDE w:val="0"/>
        <w:autoSpaceDN w:val="0"/>
        <w:adjustRightInd w:val="0"/>
        <w:spacing w:after="0" w:line="240" w:lineRule="auto"/>
        <w:jc w:val="both"/>
        <w:rPr>
          <w:rFonts w:cstheme="minorHAnsi"/>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r>
        <w:rPr>
          <w:rFonts w:cstheme="minorHAnsi"/>
          <w:b/>
        </w:rPr>
        <w:lastRenderedPageBreak/>
        <w:t xml:space="preserve">Question 12:  </w:t>
      </w:r>
      <w:r w:rsidR="00D86D02" w:rsidRPr="00D86D02">
        <w:rPr>
          <w:rFonts w:cstheme="minorHAnsi"/>
        </w:rPr>
        <w:t>What is your final, best estimate of the property’s current market value?  (It is fine to blend the values from different approaches).  Describe your reasoning why you think this is the most accurate value.</w:t>
      </w:r>
      <w:r>
        <w:rPr>
          <w:rFonts w:cstheme="minorHAnsi"/>
        </w:rPr>
        <w:t xml:space="preserve">  Compare your value to the property’s current list price and discuss why you think there may be any significant difference.</w:t>
      </w: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E7763D" w:rsidRDefault="00E7763D" w:rsidP="004C35B6">
      <w:pPr>
        <w:autoSpaceDE w:val="0"/>
        <w:autoSpaceDN w:val="0"/>
        <w:adjustRightInd w:val="0"/>
        <w:spacing w:after="0" w:line="240" w:lineRule="auto"/>
        <w:jc w:val="both"/>
        <w:rPr>
          <w:rFonts w:cstheme="minorHAnsi"/>
          <w:b/>
        </w:rPr>
      </w:pPr>
    </w:p>
    <w:p w:rsidR="00D86D02" w:rsidRDefault="00D86D02" w:rsidP="004C35B6">
      <w:pPr>
        <w:autoSpaceDE w:val="0"/>
        <w:autoSpaceDN w:val="0"/>
        <w:adjustRightInd w:val="0"/>
        <w:spacing w:after="0" w:line="240" w:lineRule="auto"/>
        <w:jc w:val="both"/>
        <w:rPr>
          <w:rFonts w:cstheme="minorHAnsi"/>
          <w:b/>
        </w:rPr>
      </w:pPr>
    </w:p>
    <w:p w:rsidR="00D86D02" w:rsidRDefault="00D86D02" w:rsidP="004C35B6">
      <w:pPr>
        <w:autoSpaceDE w:val="0"/>
        <w:autoSpaceDN w:val="0"/>
        <w:adjustRightInd w:val="0"/>
        <w:spacing w:after="0" w:line="240" w:lineRule="auto"/>
        <w:jc w:val="both"/>
        <w:rPr>
          <w:rFonts w:cstheme="minorHAnsi"/>
          <w:b/>
        </w:rPr>
      </w:pPr>
    </w:p>
    <w:p w:rsidR="00D86D02" w:rsidRDefault="00D86D02" w:rsidP="004C35B6">
      <w:pPr>
        <w:autoSpaceDE w:val="0"/>
        <w:autoSpaceDN w:val="0"/>
        <w:adjustRightInd w:val="0"/>
        <w:spacing w:after="0" w:line="240" w:lineRule="auto"/>
        <w:jc w:val="both"/>
        <w:rPr>
          <w:rFonts w:cstheme="minorHAnsi"/>
          <w:b/>
        </w:rPr>
      </w:pPr>
    </w:p>
    <w:p w:rsidR="00D86D02" w:rsidRDefault="00D86D02" w:rsidP="004C35B6">
      <w:pPr>
        <w:autoSpaceDE w:val="0"/>
        <w:autoSpaceDN w:val="0"/>
        <w:adjustRightInd w:val="0"/>
        <w:spacing w:after="0" w:line="240" w:lineRule="auto"/>
        <w:jc w:val="both"/>
        <w:rPr>
          <w:rFonts w:cstheme="minorHAnsi"/>
          <w:b/>
        </w:rPr>
      </w:pPr>
    </w:p>
    <w:p w:rsidR="00D86D02" w:rsidRDefault="00D86D02" w:rsidP="004C35B6">
      <w:pPr>
        <w:autoSpaceDE w:val="0"/>
        <w:autoSpaceDN w:val="0"/>
        <w:adjustRightInd w:val="0"/>
        <w:spacing w:after="0" w:line="240" w:lineRule="auto"/>
        <w:jc w:val="both"/>
        <w:rPr>
          <w:rFonts w:cstheme="minorHAnsi"/>
          <w:b/>
        </w:rPr>
      </w:pPr>
    </w:p>
    <w:p w:rsidR="00D86D02" w:rsidRDefault="00D86D02" w:rsidP="004C35B6">
      <w:pPr>
        <w:autoSpaceDE w:val="0"/>
        <w:autoSpaceDN w:val="0"/>
        <w:adjustRightInd w:val="0"/>
        <w:spacing w:after="0" w:line="240" w:lineRule="auto"/>
        <w:jc w:val="both"/>
        <w:rPr>
          <w:rFonts w:cstheme="minorHAnsi"/>
          <w:b/>
        </w:rPr>
      </w:pPr>
    </w:p>
    <w:p w:rsidR="00D86D02" w:rsidRDefault="00D86D02" w:rsidP="004C35B6">
      <w:pPr>
        <w:autoSpaceDE w:val="0"/>
        <w:autoSpaceDN w:val="0"/>
        <w:adjustRightInd w:val="0"/>
        <w:spacing w:after="0" w:line="240" w:lineRule="auto"/>
        <w:jc w:val="both"/>
        <w:rPr>
          <w:rFonts w:cstheme="minorHAnsi"/>
          <w:b/>
        </w:rPr>
      </w:pPr>
    </w:p>
    <w:p w:rsidR="004C35B6" w:rsidRPr="00D86D02" w:rsidRDefault="004C35B6" w:rsidP="004C35B6">
      <w:pPr>
        <w:autoSpaceDE w:val="0"/>
        <w:autoSpaceDN w:val="0"/>
        <w:adjustRightInd w:val="0"/>
        <w:spacing w:after="0" w:line="240" w:lineRule="auto"/>
        <w:jc w:val="both"/>
        <w:rPr>
          <w:rFonts w:cstheme="minorHAnsi"/>
          <w:b/>
        </w:rPr>
      </w:pPr>
    </w:p>
    <w:sectPr w:rsidR="004C35B6" w:rsidRPr="00D86D02" w:rsidSect="00EB610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1734" w:rsidRDefault="00E21734" w:rsidP="001D6622">
      <w:pPr>
        <w:spacing w:after="0" w:line="240" w:lineRule="auto"/>
      </w:pPr>
      <w:r>
        <w:separator/>
      </w:r>
    </w:p>
  </w:endnote>
  <w:endnote w:type="continuationSeparator" w:id="1">
    <w:p w:rsidR="00E21734" w:rsidRDefault="00E21734" w:rsidP="001D66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1734" w:rsidRDefault="00E21734" w:rsidP="001D6622">
      <w:pPr>
        <w:spacing w:after="0" w:line="240" w:lineRule="auto"/>
      </w:pPr>
      <w:r>
        <w:separator/>
      </w:r>
    </w:p>
  </w:footnote>
  <w:footnote w:type="continuationSeparator" w:id="1">
    <w:p w:rsidR="00E21734" w:rsidRDefault="00E21734" w:rsidP="001D66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B696C"/>
    <w:multiLevelType w:val="hybridMultilevel"/>
    <w:tmpl w:val="51E2D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7C24FB2"/>
    <w:multiLevelType w:val="hybridMultilevel"/>
    <w:tmpl w:val="4E72BE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6BFA168D"/>
    <w:multiLevelType w:val="hybridMultilevel"/>
    <w:tmpl w:val="3A0070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96053F"/>
    <w:rsid w:val="00015373"/>
    <w:rsid w:val="000647AD"/>
    <w:rsid w:val="00097FBD"/>
    <w:rsid w:val="000C7D8C"/>
    <w:rsid w:val="000F4B8B"/>
    <w:rsid w:val="0011776B"/>
    <w:rsid w:val="001B1BC8"/>
    <w:rsid w:val="001D6622"/>
    <w:rsid w:val="002779DF"/>
    <w:rsid w:val="002B3A83"/>
    <w:rsid w:val="003248A1"/>
    <w:rsid w:val="00376D2C"/>
    <w:rsid w:val="0039375C"/>
    <w:rsid w:val="003E298E"/>
    <w:rsid w:val="003F6DC0"/>
    <w:rsid w:val="00442CD2"/>
    <w:rsid w:val="004C35B6"/>
    <w:rsid w:val="00571E43"/>
    <w:rsid w:val="005B194F"/>
    <w:rsid w:val="006132DC"/>
    <w:rsid w:val="00651848"/>
    <w:rsid w:val="00664B5C"/>
    <w:rsid w:val="006A0F00"/>
    <w:rsid w:val="006C5778"/>
    <w:rsid w:val="007B3FEF"/>
    <w:rsid w:val="008849C3"/>
    <w:rsid w:val="00890E3C"/>
    <w:rsid w:val="0090547B"/>
    <w:rsid w:val="00947DEF"/>
    <w:rsid w:val="0096053F"/>
    <w:rsid w:val="00970C14"/>
    <w:rsid w:val="00971ECF"/>
    <w:rsid w:val="00972404"/>
    <w:rsid w:val="009E27B5"/>
    <w:rsid w:val="00A10B15"/>
    <w:rsid w:val="00AA5566"/>
    <w:rsid w:val="00AB157C"/>
    <w:rsid w:val="00AF52DA"/>
    <w:rsid w:val="00B10FE9"/>
    <w:rsid w:val="00B70773"/>
    <w:rsid w:val="00BF7FCF"/>
    <w:rsid w:val="00CA0851"/>
    <w:rsid w:val="00CA33CB"/>
    <w:rsid w:val="00D45B0C"/>
    <w:rsid w:val="00D802F7"/>
    <w:rsid w:val="00D86D02"/>
    <w:rsid w:val="00E21734"/>
    <w:rsid w:val="00E25CAB"/>
    <w:rsid w:val="00E7763D"/>
    <w:rsid w:val="00EA2E78"/>
    <w:rsid w:val="00EB610F"/>
    <w:rsid w:val="00EC797A"/>
    <w:rsid w:val="00EE6175"/>
    <w:rsid w:val="00F5441E"/>
    <w:rsid w:val="00F672EE"/>
    <w:rsid w:val="00F71C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1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CD2"/>
    <w:pPr>
      <w:ind w:left="720"/>
      <w:contextualSpacing/>
    </w:pPr>
  </w:style>
  <w:style w:type="paragraph" w:styleId="FootnoteText">
    <w:name w:val="footnote text"/>
    <w:basedOn w:val="Normal"/>
    <w:link w:val="FootnoteTextChar"/>
    <w:uiPriority w:val="99"/>
    <w:semiHidden/>
    <w:unhideWhenUsed/>
    <w:rsid w:val="001D66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6622"/>
    <w:rPr>
      <w:sz w:val="20"/>
      <w:szCs w:val="20"/>
    </w:rPr>
  </w:style>
  <w:style w:type="character" w:styleId="FootnoteReference">
    <w:name w:val="footnote reference"/>
    <w:basedOn w:val="DefaultParagraphFont"/>
    <w:uiPriority w:val="99"/>
    <w:semiHidden/>
    <w:unhideWhenUsed/>
    <w:rsid w:val="001D6622"/>
    <w:rPr>
      <w:vertAlign w:val="superscript"/>
    </w:rPr>
  </w:style>
  <w:style w:type="paragraph" w:styleId="BalloonText">
    <w:name w:val="Balloon Text"/>
    <w:basedOn w:val="Normal"/>
    <w:link w:val="BalloonTextChar"/>
    <w:uiPriority w:val="99"/>
    <w:semiHidden/>
    <w:unhideWhenUsed/>
    <w:rsid w:val="006A0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F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4379609">
      <w:bodyDiv w:val="1"/>
      <w:marLeft w:val="0"/>
      <w:marRight w:val="0"/>
      <w:marTop w:val="0"/>
      <w:marBottom w:val="0"/>
      <w:divBdr>
        <w:top w:val="none" w:sz="0" w:space="0" w:color="auto"/>
        <w:left w:val="none" w:sz="0" w:space="0" w:color="auto"/>
        <w:bottom w:val="none" w:sz="0" w:space="0" w:color="auto"/>
        <w:right w:val="none" w:sz="0" w:space="0" w:color="auto"/>
      </w:divBdr>
    </w:div>
    <w:div w:id="404567064">
      <w:bodyDiv w:val="1"/>
      <w:marLeft w:val="0"/>
      <w:marRight w:val="0"/>
      <w:marTop w:val="0"/>
      <w:marBottom w:val="0"/>
      <w:divBdr>
        <w:top w:val="none" w:sz="0" w:space="0" w:color="auto"/>
        <w:left w:val="none" w:sz="0" w:space="0" w:color="auto"/>
        <w:bottom w:val="none" w:sz="0" w:space="0" w:color="auto"/>
        <w:right w:val="none" w:sz="0" w:space="0" w:color="auto"/>
      </w:divBdr>
    </w:div>
    <w:div w:id="499082805">
      <w:bodyDiv w:val="1"/>
      <w:marLeft w:val="0"/>
      <w:marRight w:val="0"/>
      <w:marTop w:val="0"/>
      <w:marBottom w:val="0"/>
      <w:divBdr>
        <w:top w:val="none" w:sz="0" w:space="0" w:color="auto"/>
        <w:left w:val="none" w:sz="0" w:space="0" w:color="auto"/>
        <w:bottom w:val="none" w:sz="0" w:space="0" w:color="auto"/>
        <w:right w:val="none" w:sz="0" w:space="0" w:color="auto"/>
      </w:divBdr>
    </w:div>
    <w:div w:id="570315227">
      <w:bodyDiv w:val="1"/>
      <w:marLeft w:val="0"/>
      <w:marRight w:val="0"/>
      <w:marTop w:val="0"/>
      <w:marBottom w:val="0"/>
      <w:divBdr>
        <w:top w:val="none" w:sz="0" w:space="0" w:color="auto"/>
        <w:left w:val="none" w:sz="0" w:space="0" w:color="auto"/>
        <w:bottom w:val="none" w:sz="0" w:space="0" w:color="auto"/>
        <w:right w:val="none" w:sz="0" w:space="0" w:color="auto"/>
      </w:divBdr>
    </w:div>
    <w:div w:id="710106412">
      <w:bodyDiv w:val="1"/>
      <w:marLeft w:val="0"/>
      <w:marRight w:val="0"/>
      <w:marTop w:val="0"/>
      <w:marBottom w:val="0"/>
      <w:divBdr>
        <w:top w:val="none" w:sz="0" w:space="0" w:color="auto"/>
        <w:left w:val="none" w:sz="0" w:space="0" w:color="auto"/>
        <w:bottom w:val="none" w:sz="0" w:space="0" w:color="auto"/>
        <w:right w:val="none" w:sz="0" w:space="0" w:color="auto"/>
      </w:divBdr>
    </w:div>
    <w:div w:id="1115909931">
      <w:bodyDiv w:val="1"/>
      <w:marLeft w:val="0"/>
      <w:marRight w:val="0"/>
      <w:marTop w:val="0"/>
      <w:marBottom w:val="0"/>
      <w:divBdr>
        <w:top w:val="none" w:sz="0" w:space="0" w:color="auto"/>
        <w:left w:val="none" w:sz="0" w:space="0" w:color="auto"/>
        <w:bottom w:val="none" w:sz="0" w:space="0" w:color="auto"/>
        <w:right w:val="none" w:sz="0" w:space="0" w:color="auto"/>
      </w:divBdr>
    </w:div>
    <w:div w:id="1123231185">
      <w:bodyDiv w:val="1"/>
      <w:marLeft w:val="0"/>
      <w:marRight w:val="0"/>
      <w:marTop w:val="0"/>
      <w:marBottom w:val="0"/>
      <w:divBdr>
        <w:top w:val="none" w:sz="0" w:space="0" w:color="auto"/>
        <w:left w:val="none" w:sz="0" w:space="0" w:color="auto"/>
        <w:bottom w:val="none" w:sz="0" w:space="0" w:color="auto"/>
        <w:right w:val="none" w:sz="0" w:space="0" w:color="auto"/>
      </w:divBdr>
    </w:div>
    <w:div w:id="1133523240">
      <w:bodyDiv w:val="1"/>
      <w:marLeft w:val="0"/>
      <w:marRight w:val="0"/>
      <w:marTop w:val="0"/>
      <w:marBottom w:val="0"/>
      <w:divBdr>
        <w:top w:val="none" w:sz="0" w:space="0" w:color="auto"/>
        <w:left w:val="none" w:sz="0" w:space="0" w:color="auto"/>
        <w:bottom w:val="none" w:sz="0" w:space="0" w:color="auto"/>
        <w:right w:val="none" w:sz="0" w:space="0" w:color="auto"/>
      </w:divBdr>
    </w:div>
    <w:div w:id="1302609678">
      <w:bodyDiv w:val="1"/>
      <w:marLeft w:val="0"/>
      <w:marRight w:val="0"/>
      <w:marTop w:val="0"/>
      <w:marBottom w:val="0"/>
      <w:divBdr>
        <w:top w:val="none" w:sz="0" w:space="0" w:color="auto"/>
        <w:left w:val="none" w:sz="0" w:space="0" w:color="auto"/>
        <w:bottom w:val="none" w:sz="0" w:space="0" w:color="auto"/>
        <w:right w:val="none" w:sz="0" w:space="0" w:color="auto"/>
      </w:divBdr>
    </w:div>
    <w:div w:id="1834564656">
      <w:bodyDiv w:val="1"/>
      <w:marLeft w:val="0"/>
      <w:marRight w:val="0"/>
      <w:marTop w:val="0"/>
      <w:marBottom w:val="0"/>
      <w:divBdr>
        <w:top w:val="none" w:sz="0" w:space="0" w:color="auto"/>
        <w:left w:val="none" w:sz="0" w:space="0" w:color="auto"/>
        <w:bottom w:val="none" w:sz="0" w:space="0" w:color="auto"/>
        <w:right w:val="none" w:sz="0" w:space="0" w:color="auto"/>
      </w:divBdr>
    </w:div>
    <w:div w:id="189793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1AF12-143F-4941-AA09-95ED18DBC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2131</Words>
  <Characters>12149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14252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Gillen</dc:creator>
  <cp:lastModifiedBy>Monika</cp:lastModifiedBy>
  <cp:revision>2</cp:revision>
  <dcterms:created xsi:type="dcterms:W3CDTF">2019-02-16T05:58:00Z</dcterms:created>
  <dcterms:modified xsi:type="dcterms:W3CDTF">2019-02-16T05:58:00Z</dcterms:modified>
</cp:coreProperties>
</file>